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4725B9D4" w:rsidR="004C29CA" w:rsidRPr="007A0D8E" w:rsidRDefault="004C29CA" w:rsidP="0000790C">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4C24D671"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175021" w:rsidRPr="00147A72">
        <w:rPr>
          <w:rFonts w:ascii="Bookman Old Style" w:hAnsi="Bookman Old Style" w:cs="Arial"/>
          <w:b/>
          <w:i/>
          <w:iCs/>
          <w:sz w:val="28"/>
          <w:szCs w:val="28"/>
          <w:lang w:val="el-GR"/>
        </w:rPr>
        <w:t>39</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175021" w:rsidRPr="00147A72">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00F0D004" w14:textId="3F957853" w:rsidR="004C29CA" w:rsidRPr="00C40E23"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C40E23">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C40E23">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C40E23">
        <w:rPr>
          <w:rFonts w:ascii="Bookman Old Style" w:hAnsi="Bookman Old Style" w:cs="Arial"/>
          <w:b/>
          <w:bCs/>
          <w:i/>
          <w:iCs/>
          <w:sz w:val="28"/>
          <w:szCs w:val="28"/>
          <w:lang w:val="el-GR"/>
        </w:rPr>
        <w:t>)</w:t>
      </w:r>
    </w:p>
    <w:p w14:paraId="3168C780" w14:textId="77777777" w:rsidR="004C29CA" w:rsidRPr="00724C01" w:rsidRDefault="004C29CA" w:rsidP="0000790C">
      <w:pPr>
        <w:ind w:right="-35"/>
        <w:jc w:val="center"/>
        <w:rPr>
          <w:rFonts w:ascii="Bookman Old Style" w:hAnsi="Bookman Old Style" w:cs="Arial"/>
          <w:b/>
          <w:bCs/>
          <w:sz w:val="28"/>
          <w:szCs w:val="28"/>
          <w:lang w:val="el-GR"/>
        </w:rPr>
      </w:pPr>
    </w:p>
    <w:p w14:paraId="1BBA4D20" w14:textId="302507E2" w:rsidR="004C29CA" w:rsidRDefault="003E2625"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26 Μαρτίου,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C40E23">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6FD87D2D"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341CDB">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Default="004C29CA" w:rsidP="0000790C">
      <w:pPr>
        <w:ind w:right="-35"/>
        <w:rPr>
          <w:rFonts w:ascii="Bookman Old Style" w:hAnsi="Bookman Old Style" w:cs="Arial"/>
          <w:sz w:val="28"/>
          <w:szCs w:val="28"/>
          <w:u w:val="single"/>
          <w:lang w:val="el-GR"/>
        </w:rPr>
      </w:pPr>
    </w:p>
    <w:p w14:paraId="6A5CDA90" w14:textId="77777777" w:rsidR="00C40E23" w:rsidRDefault="00C40E23" w:rsidP="0000790C">
      <w:pPr>
        <w:ind w:right="-35"/>
        <w:rPr>
          <w:rFonts w:ascii="Bookman Old Style" w:hAnsi="Bookman Old Style" w:cs="Arial"/>
          <w:sz w:val="28"/>
          <w:szCs w:val="28"/>
          <w:u w:val="single"/>
          <w:lang w:val="el-GR"/>
        </w:rPr>
      </w:pPr>
    </w:p>
    <w:p w14:paraId="44C89435"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eastAsia="en-US"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5DEA922A"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0AF63817" w14:textId="77777777" w:rsidR="00175021" w:rsidRDefault="00175021" w:rsidP="00175021">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2D2943D"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p>
    <w:p w14:paraId="038D9F63"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ΤΟΥ ΑΝΩΤΑΤΟΥ ΔΙΚΑΣΤΗΡΙΟΥ (ΔΙΚΑΙΟΔΟΣΙΑ ΕΚΔΟΣΗΣ ΕΝΤΑΛΜΑΤΩΝ ΠΡΟΝΟΜΙΑΚΗΣ ΦΥΣΕΩΣ) ΔΙΑΔΙΚΑΣΤΙΚΟ ΚΑΝΟΝΙΣΜΟ ΤΟΥ 2018</w:t>
      </w:r>
    </w:p>
    <w:p w14:paraId="6B28476B" w14:textId="77777777" w:rsidR="00175021" w:rsidRDefault="00175021" w:rsidP="00175021">
      <w:pPr>
        <w:pStyle w:val="Bodytext20"/>
        <w:shd w:val="clear" w:color="auto" w:fill="auto"/>
        <w:spacing w:before="0" w:line="276" w:lineRule="auto"/>
        <w:ind w:right="-35"/>
        <w:jc w:val="center"/>
        <w:rPr>
          <w:rFonts w:ascii="Bookman Old Style" w:hAnsi="Bookman Old Style"/>
          <w:color w:val="000000"/>
          <w:sz w:val="28"/>
          <w:szCs w:val="28"/>
          <w:lang w:bidi="el-GR"/>
        </w:rPr>
      </w:pPr>
    </w:p>
    <w:p w14:paraId="0348C564" w14:textId="77777777" w:rsidR="00175021" w:rsidRDefault="00175021" w:rsidP="00175021">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19C94800"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p>
    <w:p w14:paraId="59DBE418"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ΤΗΣ </w:t>
      </w:r>
      <w:r>
        <w:rPr>
          <w:rFonts w:ascii="Bookman Old Style" w:hAnsi="Bookman Old Style"/>
          <w:color w:val="000000"/>
          <w:sz w:val="28"/>
          <w:szCs w:val="28"/>
          <w:lang w:val="en-US" w:bidi="el-GR"/>
        </w:rPr>
        <w:t>CS</w:t>
      </w:r>
      <w:r>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VIRTUAL</w:t>
      </w:r>
      <w:r>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TRADE</w:t>
      </w:r>
      <w:r>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LTD</w:t>
      </w:r>
      <w:r>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HE</w:t>
      </w:r>
      <w:r>
        <w:rPr>
          <w:rFonts w:ascii="Bookman Old Style" w:hAnsi="Bookman Old Style"/>
          <w:color w:val="000000"/>
          <w:sz w:val="28"/>
          <w:szCs w:val="28"/>
          <w:lang w:bidi="el-GR"/>
        </w:rPr>
        <w:t xml:space="preserve"> 389299) ΓΙΑ ΑΔΕΙΑ ΓΙΑ ΤΗΝ ΚΑΤΑΧΩΡΗΣΗ ΑΙΤΗΣΗΣ ΓΙΑ ΤΗΝ ΕΚΔΟΣΗ ΕΝΤΑΛΜΑΤΟΣ </w:t>
      </w:r>
      <w:r>
        <w:rPr>
          <w:rFonts w:ascii="Bookman Old Style" w:hAnsi="Bookman Old Style"/>
          <w:color w:val="000000"/>
          <w:sz w:val="28"/>
          <w:szCs w:val="28"/>
          <w:lang w:val="en-US" w:bidi="el-GR"/>
        </w:rPr>
        <w:t>CERTIORARI</w:t>
      </w:r>
    </w:p>
    <w:p w14:paraId="63CA511F"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p>
    <w:p w14:paraId="6396FB62" w14:textId="77777777" w:rsidR="00175021" w:rsidRDefault="00175021" w:rsidP="00175021">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236D8BC"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p>
    <w:p w14:paraId="7D2580FB" w14:textId="77777777" w:rsidR="00175021" w:rsidRDefault="00175021" w:rsidP="00175021">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ΕΝΔΙΑΜΕΣΗ ΑΠΟΦΑΣΗ ΗΜΕΡΟΜΗΝΙΑΣ 29/02/2024 ΤΟ ΟΠΟΙΟ ΕΚΔΟΘΗΚΕ ΣΤΑ ΠΛΑΙΣΙΑ ΤΗΣ ΑΓΩΓΗΣ ΥΠ΄ΑΡΙΘΜΟ 440/2019 ΑΠΟ ΤΟ ΕΠΑΡΧΙΑΚΟ ΔΙΚΑΣΤΗΡΙΟ ΛΕΜΕΣΟΥ</w:t>
      </w:r>
    </w:p>
    <w:p w14:paraId="4DA71174" w14:textId="77777777" w:rsidR="00C40E23" w:rsidRDefault="00C40E23" w:rsidP="00175021">
      <w:pPr>
        <w:ind w:right="-35"/>
        <w:rPr>
          <w:rFonts w:ascii="Bookman Old Style" w:hAnsi="Bookman Old Style" w:cs="Arial"/>
          <w:sz w:val="28"/>
          <w:szCs w:val="28"/>
          <w:u w:val="single"/>
          <w:lang w:val="el-GR"/>
        </w:rPr>
      </w:pPr>
    </w:p>
    <w:p w14:paraId="71896CC4" w14:textId="77777777" w:rsidR="00C40E23" w:rsidRDefault="00C40E23" w:rsidP="00175021">
      <w:pPr>
        <w:ind w:right="-35"/>
        <w:rPr>
          <w:rFonts w:ascii="Bookman Old Style" w:hAnsi="Bookman Old Style" w:cs="Arial"/>
          <w:sz w:val="28"/>
          <w:szCs w:val="28"/>
          <w:u w:val="single"/>
          <w:lang w:val="el-GR"/>
        </w:rPr>
      </w:pPr>
    </w:p>
    <w:p w14:paraId="24DF84F6" w14:textId="6FAB437F" w:rsidR="004C29CA" w:rsidRPr="003E2625" w:rsidRDefault="003E2625" w:rsidP="0000790C">
      <w:pPr>
        <w:ind w:right="-35"/>
        <w:rPr>
          <w:rFonts w:ascii="Bookman Old Style" w:hAnsi="Bookman Old Style" w:cs="Arial"/>
          <w:b/>
          <w:sz w:val="28"/>
          <w:szCs w:val="28"/>
          <w:u w:val="double"/>
          <w:lang w:val="el-GR"/>
        </w:rPr>
      </w:pPr>
      <w:r>
        <w:rPr>
          <w:rFonts w:ascii="Bookman Old Style" w:hAnsi="Bookman Old Style" w:cs="Arial"/>
          <w:b/>
          <w:sz w:val="28"/>
          <w:szCs w:val="28"/>
          <w:u w:val="double"/>
          <w:lang w:val="el-GR"/>
        </w:rPr>
        <w:t>_____________________________________________________________________</w:t>
      </w:r>
    </w:p>
    <w:p w14:paraId="225E3645" w14:textId="3A87208C" w:rsidR="004C29CA" w:rsidRPr="007A0D8E" w:rsidRDefault="00131F61" w:rsidP="0000790C">
      <w:pPr>
        <w:ind w:left="397" w:right="-35" w:hanging="113"/>
        <w:jc w:val="both"/>
        <w:rPr>
          <w:rFonts w:ascii="Bookman Old Style" w:hAnsi="Bookman Old Style" w:cs="Arial"/>
          <w:iCs/>
          <w:sz w:val="28"/>
          <w:szCs w:val="28"/>
          <w:lang w:val="el-GR"/>
        </w:rPr>
      </w:pPr>
      <w:r w:rsidRPr="00E566F1">
        <w:rPr>
          <w:rFonts w:ascii="Bookman Old Style" w:hAnsi="Bookman Old Style" w:cs="Arial"/>
          <w:i/>
          <w:iCs/>
          <w:sz w:val="28"/>
          <w:szCs w:val="28"/>
          <w:lang w:val="el-GR"/>
        </w:rPr>
        <w:lastRenderedPageBreak/>
        <w:t>Ε. Χριστοδούλου (κα)</w:t>
      </w:r>
      <w:r w:rsidR="004C29CA" w:rsidRPr="00E566F1">
        <w:rPr>
          <w:rFonts w:ascii="Bookman Old Style" w:hAnsi="Bookman Old Style" w:cs="Arial"/>
          <w:i/>
          <w:iCs/>
          <w:sz w:val="28"/>
          <w:szCs w:val="28"/>
          <w:lang w:val="el-GR"/>
        </w:rPr>
        <w:t>,</w:t>
      </w:r>
      <w:r w:rsidR="004C29CA" w:rsidRPr="007A0D8E">
        <w:rPr>
          <w:rFonts w:ascii="Bookman Old Style" w:hAnsi="Bookman Old Style" w:cs="Arial"/>
          <w:i/>
          <w:iCs/>
          <w:sz w:val="28"/>
          <w:szCs w:val="28"/>
          <w:lang w:val="el-GR"/>
        </w:rPr>
        <w:t xml:space="preserve"> </w:t>
      </w:r>
      <w:r w:rsidR="005B2486">
        <w:rPr>
          <w:rFonts w:ascii="Bookman Old Style" w:hAnsi="Bookman Old Style" w:cs="Arial"/>
          <w:i/>
          <w:iCs/>
          <w:sz w:val="28"/>
          <w:szCs w:val="28"/>
          <w:lang w:val="el-GR"/>
        </w:rPr>
        <w:t xml:space="preserve">για </w:t>
      </w:r>
      <w:r w:rsidR="00175021">
        <w:rPr>
          <w:rFonts w:ascii="Bookman Old Style" w:hAnsi="Bookman Old Style" w:cs="Arial"/>
          <w:i/>
          <w:iCs/>
          <w:sz w:val="28"/>
          <w:szCs w:val="28"/>
          <w:lang w:val="en-US"/>
        </w:rPr>
        <w:t>I</w:t>
      </w:r>
      <w:r w:rsidR="00175021" w:rsidRPr="00175021">
        <w:rPr>
          <w:rFonts w:ascii="Bookman Old Style" w:hAnsi="Bookman Old Style" w:cs="Arial"/>
          <w:i/>
          <w:iCs/>
          <w:sz w:val="28"/>
          <w:szCs w:val="28"/>
          <w:lang w:val="el-GR"/>
        </w:rPr>
        <w:t xml:space="preserve">. </w:t>
      </w:r>
      <w:r w:rsidR="00175021">
        <w:rPr>
          <w:rFonts w:ascii="Bookman Old Style" w:hAnsi="Bookman Old Style" w:cs="Arial"/>
          <w:i/>
          <w:iCs/>
          <w:sz w:val="28"/>
          <w:szCs w:val="28"/>
          <w:lang w:val="en-US"/>
        </w:rPr>
        <w:t>CHRISTODOULOU</w:t>
      </w:r>
      <w:r w:rsidR="00175021" w:rsidRPr="00175021">
        <w:rPr>
          <w:rFonts w:ascii="Bookman Old Style" w:hAnsi="Bookman Old Style" w:cs="Arial"/>
          <w:i/>
          <w:iCs/>
          <w:sz w:val="28"/>
          <w:szCs w:val="28"/>
          <w:lang w:val="el-GR"/>
        </w:rPr>
        <w:t xml:space="preserve"> &amp; </w:t>
      </w:r>
      <w:r w:rsidR="00175021">
        <w:rPr>
          <w:rFonts w:ascii="Bookman Old Style" w:hAnsi="Bookman Old Style" w:cs="Arial"/>
          <w:i/>
          <w:iCs/>
          <w:sz w:val="28"/>
          <w:szCs w:val="28"/>
          <w:lang w:val="en-US"/>
        </w:rPr>
        <w:t>PARTNERS</w:t>
      </w:r>
      <w:r w:rsidR="00175021" w:rsidRPr="00175021">
        <w:rPr>
          <w:rFonts w:ascii="Bookman Old Style" w:hAnsi="Bookman Old Style" w:cs="Arial"/>
          <w:i/>
          <w:iCs/>
          <w:sz w:val="28"/>
          <w:szCs w:val="28"/>
          <w:lang w:val="el-GR"/>
        </w:rPr>
        <w:t xml:space="preserve"> </w:t>
      </w:r>
      <w:r w:rsidR="00175021">
        <w:rPr>
          <w:rFonts w:ascii="Bookman Old Style" w:hAnsi="Bookman Old Style" w:cs="Arial"/>
          <w:i/>
          <w:iCs/>
          <w:sz w:val="28"/>
          <w:szCs w:val="28"/>
          <w:lang w:val="en-US"/>
        </w:rPr>
        <w:t>LLC</w:t>
      </w:r>
      <w:r w:rsidR="005B2486">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5B2486">
        <w:rPr>
          <w:rFonts w:ascii="Bookman Old Style" w:hAnsi="Bookman Old Style" w:cs="Arial"/>
          <w:iCs/>
          <w:sz w:val="28"/>
          <w:szCs w:val="28"/>
          <w:lang w:val="el-GR"/>
        </w:rPr>
        <w:t>υς</w:t>
      </w:r>
      <w:r w:rsidR="004C29CA" w:rsidRPr="007A0D8E">
        <w:rPr>
          <w:rFonts w:ascii="Bookman Old Style" w:hAnsi="Bookman Old Style" w:cs="Arial"/>
          <w:iCs/>
          <w:sz w:val="28"/>
          <w:szCs w:val="28"/>
          <w:lang w:val="el-GR"/>
        </w:rPr>
        <w:t xml:space="preserve"> Αιτητ</w:t>
      </w:r>
      <w:r w:rsidR="005B2486">
        <w:rPr>
          <w:rFonts w:ascii="Bookman Old Style" w:hAnsi="Bookman Old Style" w:cs="Arial"/>
          <w:iCs/>
          <w:sz w:val="28"/>
          <w:szCs w:val="28"/>
          <w:lang w:val="el-GR"/>
        </w:rPr>
        <w:t>ές</w:t>
      </w:r>
      <w:r w:rsidR="004C29CA" w:rsidRPr="007A0D8E">
        <w:rPr>
          <w:rFonts w:ascii="Bookman Old Style" w:hAnsi="Bookman Old Style" w:cs="Arial"/>
          <w:iCs/>
          <w:sz w:val="28"/>
          <w:szCs w:val="28"/>
          <w:lang w:val="el-GR"/>
        </w:rPr>
        <w:t>.</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44F6C285" w14:textId="09482406" w:rsidR="00964D63" w:rsidRPr="00964D63" w:rsidRDefault="00964D63" w:rsidP="0000790C">
      <w:pPr>
        <w:ind w:left="397" w:right="-35" w:hanging="113"/>
        <w:jc w:val="both"/>
        <w:rPr>
          <w:rFonts w:ascii="Bookman Old Style" w:hAnsi="Bookman Old Style" w:cs="Arial"/>
          <w:b/>
          <w:bCs/>
          <w:sz w:val="28"/>
          <w:szCs w:val="28"/>
          <w:u w:val="thick"/>
          <w:lang w:val="el-GR"/>
        </w:rPr>
      </w:pPr>
      <w:r>
        <w:rPr>
          <w:rFonts w:ascii="Bookman Old Style" w:hAnsi="Bookman Old Style" w:cs="Arial"/>
          <w:b/>
          <w:bCs/>
          <w:sz w:val="28"/>
          <w:szCs w:val="28"/>
          <w:u w:val="thick"/>
          <w:lang w:val="el-GR"/>
        </w:rPr>
        <w:t>___________________________________________________________________</w:t>
      </w:r>
    </w:p>
    <w:p w14:paraId="5AB486D5" w14:textId="77777777" w:rsidR="00964D63" w:rsidRDefault="00964D63" w:rsidP="0000790C">
      <w:pPr>
        <w:spacing w:line="360" w:lineRule="auto"/>
        <w:ind w:right="-35"/>
        <w:jc w:val="center"/>
        <w:rPr>
          <w:rFonts w:ascii="Bookman Old Style" w:hAnsi="Bookman Old Style" w:cs="Arial"/>
          <w:b/>
          <w:bCs/>
          <w:caps/>
          <w:sz w:val="34"/>
          <w:szCs w:val="34"/>
          <w:u w:val="thick"/>
          <w:lang w:val="el-GR"/>
        </w:rPr>
      </w:pPr>
    </w:p>
    <w:p w14:paraId="5080FDCF" w14:textId="2F9AA4E4"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1A4B8697" w:rsidR="004C29CA" w:rsidRDefault="00131F61" w:rsidP="0000790C">
      <w:pPr>
        <w:tabs>
          <w:tab w:val="left" w:pos="624"/>
        </w:tabs>
        <w:ind w:left="681" w:right="-35" w:hanging="397"/>
        <w:jc w:val="both"/>
        <w:rPr>
          <w:rFonts w:ascii="Bookman Old Style" w:hAnsi="Bookman Old Style" w:cs="Arial"/>
          <w:b/>
          <w:bCs/>
          <w:sz w:val="28"/>
          <w:szCs w:val="28"/>
          <w:lang w:val="el-GR"/>
        </w:rPr>
      </w:pPr>
      <w:r>
        <w:rPr>
          <w:rFonts w:ascii="Bookman Old Style" w:hAnsi="Bookman Old Style" w:cs="Arial"/>
          <w:b/>
          <w:bCs/>
          <w:sz w:val="28"/>
          <w:szCs w:val="28"/>
          <w:lang w:val="el-GR"/>
        </w:rPr>
        <w:t xml:space="preserve">                                 (Δοθείσα Αυθημερόν)</w:t>
      </w:r>
    </w:p>
    <w:p w14:paraId="4D2134DF" w14:textId="77777777" w:rsidR="003E2625" w:rsidRPr="00E566F1" w:rsidRDefault="003E2625" w:rsidP="0000790C">
      <w:pPr>
        <w:tabs>
          <w:tab w:val="left" w:pos="624"/>
        </w:tabs>
        <w:ind w:left="681" w:right="-35" w:hanging="397"/>
        <w:jc w:val="both"/>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6548A3E4" w:rsidR="005768FF" w:rsidRDefault="00341CDB"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147A72">
        <w:rPr>
          <w:rFonts w:ascii="Bookman Old Style" w:hAnsi="Bookman Old Style" w:cs="Arial"/>
          <w:sz w:val="28"/>
          <w:szCs w:val="28"/>
          <w:lang w:val="el-GR"/>
        </w:rPr>
        <w:t xml:space="preserve">Οι Αιτητές με την παρούσα Αίτηση ζητούν άδεια </w:t>
      </w:r>
      <w:r w:rsidR="00A7487C">
        <w:rPr>
          <w:rFonts w:ascii="Bookman Old Style" w:hAnsi="Bookman Old Style" w:cs="Arial"/>
          <w:sz w:val="28"/>
          <w:szCs w:val="28"/>
          <w:lang w:val="el-GR"/>
        </w:rPr>
        <w:t xml:space="preserve">του Δικαστηρίου για την καταχώριση αίτησης δια κλήσεως για την έκδοση προνομιακού εντάλματος φύσεως </w:t>
      </w:r>
      <w:r w:rsidR="00A7487C">
        <w:rPr>
          <w:rFonts w:ascii="Bookman Old Style" w:hAnsi="Bookman Old Style" w:cs="Arial"/>
          <w:i/>
          <w:iCs/>
          <w:sz w:val="28"/>
          <w:szCs w:val="28"/>
          <w:lang w:val="en-US"/>
        </w:rPr>
        <w:t>Certiorari</w:t>
      </w:r>
      <w:r w:rsidR="00A7487C">
        <w:rPr>
          <w:rFonts w:ascii="Bookman Old Style" w:hAnsi="Bookman Old Style" w:cs="Arial"/>
          <w:sz w:val="28"/>
          <w:szCs w:val="28"/>
          <w:lang w:val="el-GR"/>
        </w:rPr>
        <w:t>, με σκοπό την ακύρωση της ενδιάμεσης Απόφασης, ημερ. 29/2/2024, που εκδόθηκε από το Επαρχιακό Δικαστήριο Λεμεσού (εφεξής Κατώτερο Δικαστήριο) στο πλαίσιο της Αγωγής υπ’ αρ. 440/2019, με την οποία απερρίφθη η αίτηση παραμερισμού ημερ. 15/11/2023.</w:t>
      </w:r>
    </w:p>
    <w:p w14:paraId="3BF7E0DA" w14:textId="77777777" w:rsidR="00A7487C" w:rsidRDefault="00A7487C" w:rsidP="0000790C">
      <w:pPr>
        <w:spacing w:line="480" w:lineRule="auto"/>
        <w:ind w:right="-35"/>
        <w:jc w:val="both"/>
        <w:rPr>
          <w:rFonts w:ascii="Bookman Old Style" w:hAnsi="Bookman Old Style" w:cs="Arial"/>
          <w:sz w:val="28"/>
          <w:szCs w:val="28"/>
          <w:lang w:val="el-GR"/>
        </w:rPr>
      </w:pPr>
    </w:p>
    <w:p w14:paraId="6F326005" w14:textId="10005224" w:rsidR="00A7487C" w:rsidRDefault="00A7487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w:t>
      </w:r>
      <w:r w:rsidR="0089784B">
        <w:rPr>
          <w:rFonts w:ascii="Bookman Old Style" w:hAnsi="Bookman Old Style" w:cs="Arial"/>
          <w:sz w:val="28"/>
          <w:szCs w:val="28"/>
          <w:lang w:val="el-GR"/>
        </w:rPr>
        <w:t>του                         Χ. Νεοπτολέμου, μοναδικού Διευθυντή της Εταιρείας των Αιτητών.</w:t>
      </w:r>
    </w:p>
    <w:p w14:paraId="1DC11439" w14:textId="77777777" w:rsidR="0089784B" w:rsidRDefault="0089784B" w:rsidP="0000790C">
      <w:pPr>
        <w:spacing w:line="480" w:lineRule="auto"/>
        <w:ind w:right="-35"/>
        <w:jc w:val="both"/>
        <w:rPr>
          <w:rFonts w:ascii="Bookman Old Style" w:hAnsi="Bookman Old Style" w:cs="Arial"/>
          <w:sz w:val="28"/>
          <w:szCs w:val="28"/>
          <w:lang w:val="el-GR"/>
        </w:rPr>
      </w:pPr>
    </w:p>
    <w:p w14:paraId="6E9288C7" w14:textId="5D130BD2" w:rsidR="0089784B" w:rsidRDefault="0089784B"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Προτού γίνει αναφορά στους λόγους επί των οποίων βασίζεται το αίτημα και εξειδικεύονται στην Έκθεση, κρίνεται σκόπιμη, για σκοπούς καλύτερης αντίληψης των περιστατικών της υπόθεσης, η αναφορά στα ουσιώδη γεγονότα της υπόθεσης, όπως αυτά καταγράφονται στην Ένορκη Δήλωση Χ. Νεοπτολέμου και όπως προκύπτουν από το σύνολο των τεκμηρίων (</w:t>
      </w:r>
      <w:r w:rsidRPr="00131F61">
        <w:rPr>
          <w:rFonts w:ascii="Bookman Old Style" w:hAnsi="Bookman Old Style" w:cs="Arial"/>
          <w:b/>
          <w:bCs/>
          <w:sz w:val="28"/>
          <w:szCs w:val="28"/>
          <w:lang w:val="el-GR"/>
        </w:rPr>
        <w:t>Τεκμήρια 1-4</w:t>
      </w:r>
      <w:r>
        <w:rPr>
          <w:rFonts w:ascii="Bookman Old Style" w:hAnsi="Bookman Old Style" w:cs="Arial"/>
          <w:sz w:val="28"/>
          <w:szCs w:val="28"/>
          <w:lang w:val="el-GR"/>
        </w:rPr>
        <w:t>), τα οποία επισυνάπτονται στην εν λόγω Ένορκη Δήλωση.</w:t>
      </w:r>
    </w:p>
    <w:p w14:paraId="6BBA0D0A" w14:textId="77777777" w:rsidR="00131F61" w:rsidRDefault="00131F61" w:rsidP="0000790C">
      <w:pPr>
        <w:spacing w:line="480" w:lineRule="auto"/>
        <w:ind w:right="-35"/>
        <w:jc w:val="both"/>
        <w:rPr>
          <w:rFonts w:ascii="Bookman Old Style" w:hAnsi="Bookman Old Style" w:cs="Arial"/>
          <w:sz w:val="28"/>
          <w:szCs w:val="28"/>
          <w:lang w:val="el-GR"/>
        </w:rPr>
      </w:pPr>
    </w:p>
    <w:p w14:paraId="7D333C23" w14:textId="0622A7FB" w:rsidR="0089784B" w:rsidRDefault="002E6B05"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21/9/2020 στην Αγωγή υπ’ αρ. 440/2019 του Επαρχιακού Δικαστηρίου Λεμεσού, εκδόθηκε υπέρ των Εναγόντων και εναντίον των Αιτητών ερήμην τελική απόφαση για έξωση και παράδοση ελεύθερης κατοχής ακινήτου, καθώς και αποζημιώσεις. Στις 6/10/2020, κατόπιν μονομερούς αίτησης των Εναγόντων, εκδόθηκε τροποποιητικό διάταγμα καθορισμού των ημερών παράδοσης του επίδικου ακινήτου. Αίτηση για παραμερισμό τη</w:t>
      </w:r>
      <w:r w:rsidR="00E566F1">
        <w:rPr>
          <w:rFonts w:ascii="Bookman Old Style" w:hAnsi="Bookman Old Style" w:cs="Arial"/>
          <w:sz w:val="28"/>
          <w:szCs w:val="28"/>
          <w:lang w:val="el-GR"/>
        </w:rPr>
        <w:t>ς</w:t>
      </w:r>
      <w:r>
        <w:rPr>
          <w:rFonts w:ascii="Bookman Old Style" w:hAnsi="Bookman Old Style" w:cs="Arial"/>
          <w:sz w:val="28"/>
          <w:szCs w:val="28"/>
          <w:lang w:val="el-GR"/>
        </w:rPr>
        <w:t xml:space="preserve"> ερήμην τελικής απόφασης και του τροποποιητικού διατάγματος που καταχώρισαν οι Αιτητές, απερρίφθη στις 30/3/2022. Οι Αιτητές εφεσίβαλαν την πιο πάνω απόφαση με την Πολιτική Έφεση αρ. Ε83/2022, η οποία εκκρεμεί. </w:t>
      </w:r>
    </w:p>
    <w:p w14:paraId="59ED3674" w14:textId="77777777" w:rsidR="00A372D1" w:rsidRDefault="00A372D1" w:rsidP="0000790C">
      <w:pPr>
        <w:spacing w:line="480" w:lineRule="auto"/>
        <w:ind w:right="-35"/>
        <w:jc w:val="both"/>
        <w:rPr>
          <w:rFonts w:ascii="Bookman Old Style" w:hAnsi="Bookman Old Style" w:cs="Arial"/>
          <w:sz w:val="28"/>
          <w:szCs w:val="28"/>
          <w:lang w:val="el-GR"/>
        </w:rPr>
      </w:pPr>
    </w:p>
    <w:p w14:paraId="7B65DD50" w14:textId="19C76E57" w:rsidR="00A372D1" w:rsidRDefault="00A372D1"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Εκκρεμούσης της Εφέσεως Ε83/2022 οι Αιτητές καταχώρισαν μονομερή αίτηση</w:t>
      </w:r>
      <w:r w:rsidR="00013653">
        <w:rPr>
          <w:rFonts w:ascii="Bookman Old Style" w:hAnsi="Bookman Old Style" w:cs="Arial"/>
          <w:sz w:val="28"/>
          <w:szCs w:val="28"/>
          <w:lang w:val="el-GR"/>
        </w:rPr>
        <w:t xml:space="preserve"> για αναστολή της ερήμην απόφασης, ημερ. 21/9/2020, μέχρι την εκδίκαση της Έφεσης υπ’ αρ. Ε83/2022. Στις 23/5/2022 Πρόεδρος του Επαρχιακού Δικαστηρίου Λεμεσού επιλήφθηκε μονομερώς της εν λόγω αίτησης και εξέδωσε διάταγμα, με το οποίο διέταξε την αναστολή μερικών από τα διατακτικά της ερήμην απόφασης μέχρι την εκδίκαση της Έφεσης Ε83/2022. </w:t>
      </w:r>
    </w:p>
    <w:p w14:paraId="028F1B50" w14:textId="0123334C" w:rsidR="007671CB" w:rsidRDefault="007671CB"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Ακολούθησε από μέρους των Εναγόντων καταχώριση αιτήματος για λήψη άδειας του Δικαστηρίου για καταχώριση αίτησης δια κλήσεως για την έκδοση </w:t>
      </w:r>
      <w:r>
        <w:rPr>
          <w:rFonts w:ascii="Bookman Old Style" w:hAnsi="Bookman Old Style" w:cs="Arial"/>
          <w:i/>
          <w:iCs/>
          <w:sz w:val="28"/>
          <w:szCs w:val="28"/>
          <w:lang w:val="en-US"/>
        </w:rPr>
        <w:t>Certiorari</w:t>
      </w:r>
      <w:r w:rsidRPr="007671CB">
        <w:rPr>
          <w:rFonts w:ascii="Bookman Old Style" w:hAnsi="Bookman Old Style" w:cs="Arial"/>
          <w:i/>
          <w:iCs/>
          <w:sz w:val="28"/>
          <w:szCs w:val="28"/>
          <w:lang w:val="el-GR"/>
        </w:rPr>
        <w:t xml:space="preserve"> </w:t>
      </w:r>
      <w:r>
        <w:rPr>
          <w:rFonts w:ascii="Bookman Old Style" w:hAnsi="Bookman Old Style" w:cs="Arial"/>
          <w:sz w:val="28"/>
          <w:szCs w:val="28"/>
          <w:lang w:val="el-GR"/>
        </w:rPr>
        <w:t>και</w:t>
      </w:r>
      <w:r w:rsidRPr="007671CB">
        <w:rPr>
          <w:rFonts w:ascii="Bookman Old Style" w:hAnsi="Bookman Old Style" w:cs="Arial"/>
          <w:i/>
          <w:iCs/>
          <w:sz w:val="28"/>
          <w:szCs w:val="28"/>
          <w:lang w:val="el-GR"/>
        </w:rPr>
        <w:t xml:space="preserve"> </w:t>
      </w:r>
      <w:r>
        <w:rPr>
          <w:rFonts w:ascii="Bookman Old Style" w:hAnsi="Bookman Old Style" w:cs="Arial"/>
          <w:i/>
          <w:iCs/>
          <w:sz w:val="28"/>
          <w:szCs w:val="28"/>
          <w:lang w:val="en-US"/>
        </w:rPr>
        <w:t>Prohibition</w:t>
      </w:r>
      <w:r>
        <w:rPr>
          <w:rFonts w:ascii="Bookman Old Style" w:hAnsi="Bookman Old Style" w:cs="Arial"/>
          <w:sz w:val="28"/>
          <w:szCs w:val="28"/>
          <w:lang w:val="el-GR"/>
        </w:rPr>
        <w:t xml:space="preserve">. Αφού τους εδόθη σχετική άδεια στο πλαίσιο της Πολιτικής Αίτησης υπ’ αρ. 172/2022 και καταχωρήθηκε ένσταση από τους Αιτητές, το Ανώτατο Δικαστήριο, στην πρωτοβάθμια του δικαιοδοσία, ακύρωσε το </w:t>
      </w:r>
      <w:r w:rsidR="00FB0ED2">
        <w:rPr>
          <w:rFonts w:ascii="Bookman Old Style" w:hAnsi="Bookman Old Style" w:cs="Arial"/>
          <w:sz w:val="28"/>
          <w:szCs w:val="28"/>
          <w:lang w:val="el-GR"/>
        </w:rPr>
        <w:t>Δ</w:t>
      </w:r>
      <w:r>
        <w:rPr>
          <w:rFonts w:ascii="Bookman Old Style" w:hAnsi="Bookman Old Style" w:cs="Arial"/>
          <w:sz w:val="28"/>
          <w:szCs w:val="28"/>
          <w:lang w:val="el-GR"/>
        </w:rPr>
        <w:t xml:space="preserve">ιάταγμα ημερ. 23/5/2022. Εναντίον της απόφασης αυτής καταχωρήθηκε από τους Αιτητές </w:t>
      </w:r>
      <w:r w:rsidR="006E5EC2">
        <w:rPr>
          <w:rFonts w:ascii="Bookman Old Style" w:hAnsi="Bookman Old Style" w:cs="Arial"/>
          <w:sz w:val="28"/>
          <w:szCs w:val="28"/>
          <w:lang w:val="el-GR"/>
        </w:rPr>
        <w:t xml:space="preserve">η Πολιτική Έφεση υπ’ αρ. 9/2023 και επιφυλάχθηκε η </w:t>
      </w:r>
      <w:r w:rsidR="00FB0ED2">
        <w:rPr>
          <w:rFonts w:ascii="Bookman Old Style" w:hAnsi="Bookman Old Style" w:cs="Arial"/>
          <w:sz w:val="28"/>
          <w:szCs w:val="28"/>
          <w:lang w:val="el-GR"/>
        </w:rPr>
        <w:t>Α</w:t>
      </w:r>
      <w:r w:rsidR="006E5EC2">
        <w:rPr>
          <w:rFonts w:ascii="Bookman Old Style" w:hAnsi="Bookman Old Style" w:cs="Arial"/>
          <w:sz w:val="28"/>
          <w:szCs w:val="28"/>
          <w:lang w:val="el-GR"/>
        </w:rPr>
        <w:t xml:space="preserve">πόφαση στις 13/3/2024. </w:t>
      </w:r>
    </w:p>
    <w:p w14:paraId="52212B84" w14:textId="77777777" w:rsidR="006E5EC2" w:rsidRDefault="006E5EC2" w:rsidP="0000790C">
      <w:pPr>
        <w:spacing w:line="480" w:lineRule="auto"/>
        <w:ind w:right="-35"/>
        <w:jc w:val="both"/>
        <w:rPr>
          <w:rFonts w:ascii="Bookman Old Style" w:hAnsi="Bookman Old Style" w:cs="Arial"/>
          <w:sz w:val="28"/>
          <w:szCs w:val="28"/>
          <w:lang w:val="el-GR"/>
        </w:rPr>
      </w:pPr>
    </w:p>
    <w:p w14:paraId="5F2515D8" w14:textId="007AC437" w:rsidR="006E5EC2" w:rsidRDefault="006E5EC2"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15/9/2023 το Επαρχιακό Δικαστήριο Λεμεσού έπειτα από αίτηση των Εναγόντων εξέδωσε </w:t>
      </w:r>
      <w:r w:rsidR="00FB0ED2">
        <w:rPr>
          <w:rFonts w:ascii="Bookman Old Style" w:hAnsi="Bookman Old Style" w:cs="Arial"/>
          <w:sz w:val="28"/>
          <w:szCs w:val="28"/>
          <w:lang w:val="el-GR"/>
        </w:rPr>
        <w:t>Δ</w:t>
      </w:r>
      <w:r>
        <w:rPr>
          <w:rFonts w:ascii="Bookman Old Style" w:hAnsi="Bookman Old Style" w:cs="Arial"/>
          <w:sz w:val="28"/>
          <w:szCs w:val="28"/>
          <w:lang w:val="el-GR"/>
        </w:rPr>
        <w:t xml:space="preserve">ιάταγμα, ημερ. 15/9/2023, το οποίο επέτρεπε την έκδοση </w:t>
      </w:r>
      <w:r w:rsidR="00C25286">
        <w:rPr>
          <w:rFonts w:ascii="Bookman Old Style" w:hAnsi="Bookman Old Style" w:cs="Arial"/>
          <w:sz w:val="28"/>
          <w:szCs w:val="28"/>
          <w:lang w:val="el-GR"/>
        </w:rPr>
        <w:t>Εν</w:t>
      </w:r>
      <w:r>
        <w:rPr>
          <w:rFonts w:ascii="Bookman Old Style" w:hAnsi="Bookman Old Style" w:cs="Arial"/>
          <w:sz w:val="28"/>
          <w:szCs w:val="28"/>
          <w:lang w:val="el-GR"/>
        </w:rPr>
        <w:t>τάλματος ανάκτησης κατοχής του επίδικου ακινήτου, του οποίου νόμιμοι ιδιοκτήτες, αλλά και κάτοχοι, είναι οι Αιτητές.</w:t>
      </w:r>
    </w:p>
    <w:p w14:paraId="3F2693B9" w14:textId="77777777" w:rsidR="006E5EC2" w:rsidRDefault="006E5EC2" w:rsidP="0000790C">
      <w:pPr>
        <w:spacing w:line="480" w:lineRule="auto"/>
        <w:ind w:right="-35"/>
        <w:jc w:val="both"/>
        <w:rPr>
          <w:rFonts w:ascii="Bookman Old Style" w:hAnsi="Bookman Old Style" w:cs="Arial"/>
          <w:sz w:val="28"/>
          <w:szCs w:val="28"/>
          <w:lang w:val="el-GR"/>
        </w:rPr>
      </w:pPr>
    </w:p>
    <w:p w14:paraId="3BECEA57" w14:textId="2B78E9C3" w:rsidR="006E5EC2" w:rsidRDefault="006E5EC2"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15/11/2023 οι Αιτητές καταχώρισαν αίτηση αναστολής, καθώς και αίτηση παραμερισμού της απόφασης ημερ. 15/9/2023, μέχρι την εκδίκαση της αίτησης παραμερισμού ημερ. 15/11/2023. </w:t>
      </w:r>
    </w:p>
    <w:p w14:paraId="008113A6" w14:textId="77777777" w:rsidR="00A9472E" w:rsidRDefault="00A9472E" w:rsidP="0000790C">
      <w:pPr>
        <w:spacing w:line="480" w:lineRule="auto"/>
        <w:ind w:right="-35"/>
        <w:jc w:val="both"/>
        <w:rPr>
          <w:rFonts w:ascii="Bookman Old Style" w:hAnsi="Bookman Old Style" w:cs="Arial"/>
          <w:sz w:val="28"/>
          <w:szCs w:val="28"/>
          <w:lang w:val="el-GR"/>
        </w:rPr>
      </w:pPr>
    </w:p>
    <w:p w14:paraId="667E394C" w14:textId="275E138C" w:rsidR="00A9472E" w:rsidRDefault="00A9472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29/2/2024 το Επαρχιακό Δικαστήριο Λεμεσού εξέδωσε ενδιάμεση απόφαση (η προσβαλλόμενη Απόφαση), με την οποία απερρίφθη η αίτηση παραμερισμού ημερ. 15/11/2023, για παραμερισμό του </w:t>
      </w:r>
      <w:r w:rsidR="00FB0ED2">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ημερ. 15/9/2023 και κατ’ επέκταση του </w:t>
      </w:r>
      <w:r w:rsidR="00FB0ED2">
        <w:rPr>
          <w:rFonts w:ascii="Bookman Old Style" w:hAnsi="Bookman Old Style" w:cs="Arial"/>
          <w:sz w:val="28"/>
          <w:szCs w:val="28"/>
          <w:lang w:val="el-GR"/>
        </w:rPr>
        <w:t>Ε</w:t>
      </w:r>
      <w:r>
        <w:rPr>
          <w:rFonts w:ascii="Bookman Old Style" w:hAnsi="Bookman Old Style" w:cs="Arial"/>
          <w:sz w:val="28"/>
          <w:szCs w:val="28"/>
          <w:lang w:val="el-GR"/>
        </w:rPr>
        <w:t xml:space="preserve">ντάλματος ανάκτησης κατοχής του επίδικου ακινήτου. </w:t>
      </w:r>
    </w:p>
    <w:p w14:paraId="1B753829" w14:textId="77777777" w:rsidR="00964D63" w:rsidRDefault="00964D63" w:rsidP="0000790C">
      <w:pPr>
        <w:spacing w:line="480" w:lineRule="auto"/>
        <w:ind w:right="-35"/>
        <w:jc w:val="both"/>
        <w:rPr>
          <w:rFonts w:ascii="Bookman Old Style" w:hAnsi="Bookman Old Style" w:cs="Arial"/>
          <w:sz w:val="28"/>
          <w:szCs w:val="28"/>
          <w:lang w:val="el-GR"/>
        </w:rPr>
      </w:pPr>
    </w:p>
    <w:p w14:paraId="1BA59DF7" w14:textId="64BBCF71" w:rsidR="00A9472E" w:rsidRDefault="00A9472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Επανέρχομαι στους λόγους επί των οποίων βασίζεται το αίτημα, όπως αυτοί εξειδικεύονται στην Έκθεση. </w:t>
      </w:r>
    </w:p>
    <w:p w14:paraId="1493E1FD" w14:textId="77777777" w:rsidR="00A9472E" w:rsidRDefault="00A9472E" w:rsidP="0000790C">
      <w:pPr>
        <w:spacing w:line="480" w:lineRule="auto"/>
        <w:ind w:right="-35"/>
        <w:jc w:val="both"/>
        <w:rPr>
          <w:rFonts w:ascii="Bookman Old Style" w:hAnsi="Bookman Old Style" w:cs="Arial"/>
          <w:sz w:val="28"/>
          <w:szCs w:val="28"/>
          <w:lang w:val="el-GR"/>
        </w:rPr>
      </w:pPr>
    </w:p>
    <w:p w14:paraId="25A168AE" w14:textId="79DAC4BE" w:rsidR="00A9472E" w:rsidRDefault="00A9472E" w:rsidP="0000790C">
      <w:pPr>
        <w:spacing w:line="480" w:lineRule="auto"/>
        <w:ind w:right="-35"/>
        <w:jc w:val="both"/>
        <w:rPr>
          <w:rFonts w:ascii="Bookman Old Style" w:hAnsi="Bookman Old Style" w:cs="Arial"/>
          <w:sz w:val="28"/>
          <w:szCs w:val="28"/>
          <w:lang w:val="el-GR"/>
        </w:rPr>
      </w:pPr>
      <w:r w:rsidRPr="00964D63">
        <w:rPr>
          <w:rFonts w:ascii="Bookman Old Style" w:hAnsi="Bookman Old Style" w:cs="Arial"/>
          <w:b/>
          <w:bCs/>
          <w:sz w:val="28"/>
          <w:szCs w:val="28"/>
          <w:lang w:val="el-GR"/>
        </w:rPr>
        <w:t>(α)</w:t>
      </w:r>
      <w:r>
        <w:rPr>
          <w:rFonts w:ascii="Bookman Old Style" w:hAnsi="Bookman Old Style" w:cs="Arial"/>
          <w:sz w:val="28"/>
          <w:szCs w:val="28"/>
          <w:lang w:val="el-GR"/>
        </w:rPr>
        <w:t xml:space="preserve"> Το Κατώτερο Δικαστήριο προέβη σε εσφαλμένη ερμηνεία Νόμου και/ή εσφαλμένη εφαρμογή του Νόμου στα γεγονότα της υπόθεσης, ενεργώντας κατά παράβαση της </w:t>
      </w:r>
      <w:r w:rsidRPr="00761644">
        <w:rPr>
          <w:rFonts w:ascii="Bookman Old Style" w:hAnsi="Bookman Old Style" w:cs="Arial"/>
          <w:b/>
          <w:bCs/>
          <w:i/>
          <w:iCs/>
          <w:sz w:val="28"/>
          <w:szCs w:val="28"/>
          <w:lang w:val="el-GR"/>
        </w:rPr>
        <w:t>Διαταγής 43(Α) των περί Πολιτικής Δικονομίας Θεσμών</w:t>
      </w:r>
      <w:r>
        <w:rPr>
          <w:rFonts w:ascii="Bookman Old Style" w:hAnsi="Bookman Old Style" w:cs="Arial"/>
          <w:sz w:val="28"/>
          <w:szCs w:val="28"/>
          <w:lang w:val="el-GR"/>
        </w:rPr>
        <w:t xml:space="preserve">, με την απόφαση του ότι δεν του παρέχετο ευχέρεια παραμερισμού είτε του </w:t>
      </w:r>
      <w:r w:rsidR="00FB0ED2">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ημερ. 15/9/2023, είτε του </w:t>
      </w:r>
      <w:r w:rsidR="00FB0ED2">
        <w:rPr>
          <w:rFonts w:ascii="Bookman Old Style" w:hAnsi="Bookman Old Style" w:cs="Arial"/>
          <w:sz w:val="28"/>
          <w:szCs w:val="28"/>
          <w:lang w:val="el-GR"/>
        </w:rPr>
        <w:t>Εντάλ</w:t>
      </w:r>
      <w:r>
        <w:rPr>
          <w:rFonts w:ascii="Bookman Old Style" w:hAnsi="Bookman Old Style" w:cs="Arial"/>
          <w:sz w:val="28"/>
          <w:szCs w:val="28"/>
          <w:lang w:val="el-GR"/>
        </w:rPr>
        <w:t>ματος, με την αιτιολογία ότι αν το έπραττε θα ενεργούσε ως Εφετείο ομοβάθμιου δικαστηρίου. Αυτό αποτελεί έκδηλο νομικό σφάλμα και παρανόηση της εξουσίας πρωτόδικου Δικαστηρίου για παραμερισμό προηγούμενης απόφασής του.</w:t>
      </w:r>
    </w:p>
    <w:p w14:paraId="21D89C38" w14:textId="0C551EAA" w:rsidR="00A9472E" w:rsidRDefault="00A9472E" w:rsidP="0000790C">
      <w:pPr>
        <w:spacing w:line="480" w:lineRule="auto"/>
        <w:ind w:right="-35"/>
        <w:jc w:val="both"/>
        <w:rPr>
          <w:rFonts w:ascii="Bookman Old Style" w:hAnsi="Bookman Old Style" w:cs="Arial"/>
          <w:sz w:val="28"/>
          <w:szCs w:val="28"/>
          <w:lang w:val="el-GR"/>
        </w:rPr>
      </w:pPr>
      <w:r w:rsidRPr="00964D63">
        <w:rPr>
          <w:rFonts w:ascii="Bookman Old Style" w:hAnsi="Bookman Old Style" w:cs="Arial"/>
          <w:b/>
          <w:bCs/>
          <w:sz w:val="28"/>
          <w:szCs w:val="28"/>
          <w:lang w:val="el-GR"/>
        </w:rPr>
        <w:t>(β)</w:t>
      </w:r>
      <w:r>
        <w:rPr>
          <w:rFonts w:ascii="Bookman Old Style" w:hAnsi="Bookman Old Style" w:cs="Arial"/>
          <w:sz w:val="28"/>
          <w:szCs w:val="28"/>
          <w:lang w:val="el-GR"/>
        </w:rPr>
        <w:t xml:space="preserve"> Το Κατώτερο Δικαστήριο προέβη σε εσφαλμένη ερμηνεία Νόμου και/ή εσφαλμένη εφαρμογή του Νόμου στα γεγονότα της υπόθεσης, ενεργώντας κατά παράβαση της </w:t>
      </w:r>
      <w:r w:rsidRPr="00761644">
        <w:rPr>
          <w:rFonts w:ascii="Bookman Old Style" w:hAnsi="Bookman Old Style" w:cs="Arial"/>
          <w:b/>
          <w:bCs/>
          <w:i/>
          <w:iCs/>
          <w:sz w:val="28"/>
          <w:szCs w:val="28"/>
          <w:lang w:val="el-GR"/>
        </w:rPr>
        <w:t>Διαταγής 43(Α), (θ)(1) των περί Πολιτικής Δικονομίας Θεσμών</w:t>
      </w:r>
      <w:r>
        <w:rPr>
          <w:rFonts w:ascii="Bookman Old Style" w:hAnsi="Bookman Old Style" w:cs="Arial"/>
          <w:sz w:val="28"/>
          <w:szCs w:val="28"/>
          <w:lang w:val="el-GR"/>
        </w:rPr>
        <w:t xml:space="preserve">, όπου καθορίζεται επιτακτικά η ανάγκη επίδοσης της απόφασης ή του διατάγματος για την ανάκτηση κατοχής του ακινήτου, εφόσον δεν εξέτασε κατά πόσο το </w:t>
      </w:r>
      <w:r w:rsidR="00FB0ED2">
        <w:rPr>
          <w:rFonts w:ascii="Bookman Old Style" w:hAnsi="Bookman Old Style" w:cs="Arial"/>
          <w:sz w:val="28"/>
          <w:szCs w:val="28"/>
          <w:lang w:val="el-GR"/>
        </w:rPr>
        <w:t>Δ</w:t>
      </w:r>
      <w:r>
        <w:rPr>
          <w:rFonts w:ascii="Bookman Old Style" w:hAnsi="Bookman Old Style" w:cs="Arial"/>
          <w:sz w:val="28"/>
          <w:szCs w:val="28"/>
          <w:lang w:val="el-GR"/>
        </w:rPr>
        <w:t>ιάταγμα ημερ. 15/9/2023 είχε επιδοθεί στους Αιτητές.</w:t>
      </w:r>
    </w:p>
    <w:p w14:paraId="531FD351" w14:textId="77147A00" w:rsidR="00A9472E" w:rsidRDefault="00A9472E" w:rsidP="0000790C">
      <w:pPr>
        <w:spacing w:line="480" w:lineRule="auto"/>
        <w:ind w:right="-35"/>
        <w:jc w:val="both"/>
        <w:rPr>
          <w:rFonts w:ascii="Bookman Old Style" w:hAnsi="Bookman Old Style" w:cs="Arial"/>
          <w:sz w:val="28"/>
          <w:szCs w:val="28"/>
          <w:lang w:val="el-GR"/>
        </w:rPr>
      </w:pPr>
      <w:r w:rsidRPr="00964D63">
        <w:rPr>
          <w:rFonts w:ascii="Bookman Old Style" w:hAnsi="Bookman Old Style" w:cs="Arial"/>
          <w:b/>
          <w:bCs/>
          <w:sz w:val="28"/>
          <w:szCs w:val="28"/>
          <w:lang w:val="el-GR"/>
        </w:rPr>
        <w:t>(γ)</w:t>
      </w:r>
      <w:r>
        <w:rPr>
          <w:rFonts w:ascii="Bookman Old Style" w:hAnsi="Bookman Old Style" w:cs="Arial"/>
          <w:sz w:val="28"/>
          <w:szCs w:val="28"/>
          <w:lang w:val="el-GR"/>
        </w:rPr>
        <w:t xml:space="preserve"> Το Κατώτερο Δικαστήριο κατά παράβαση της </w:t>
      </w:r>
      <w:r w:rsidRPr="00761644">
        <w:rPr>
          <w:rFonts w:ascii="Bookman Old Style" w:hAnsi="Bookman Old Style" w:cs="Arial"/>
          <w:b/>
          <w:bCs/>
          <w:i/>
          <w:iCs/>
          <w:sz w:val="28"/>
          <w:szCs w:val="28"/>
          <w:lang w:val="el-GR"/>
        </w:rPr>
        <w:t>Διαταγής 43(Α)</w:t>
      </w:r>
      <w:r>
        <w:rPr>
          <w:rFonts w:ascii="Bookman Old Style" w:hAnsi="Bookman Old Style" w:cs="Arial"/>
          <w:sz w:val="28"/>
          <w:szCs w:val="28"/>
          <w:lang w:val="el-GR"/>
        </w:rPr>
        <w:t xml:space="preserve"> δεν παραμέρισε το </w:t>
      </w:r>
      <w:r w:rsidR="00FB0ED2">
        <w:rPr>
          <w:rFonts w:ascii="Bookman Old Style" w:hAnsi="Bookman Old Style" w:cs="Arial"/>
          <w:sz w:val="28"/>
          <w:szCs w:val="28"/>
          <w:lang w:val="el-GR"/>
        </w:rPr>
        <w:t>Έντα</w:t>
      </w:r>
      <w:r>
        <w:rPr>
          <w:rFonts w:ascii="Bookman Old Style" w:hAnsi="Bookman Old Style" w:cs="Arial"/>
          <w:sz w:val="28"/>
          <w:szCs w:val="28"/>
          <w:lang w:val="el-GR"/>
        </w:rPr>
        <w:t xml:space="preserve">λμα ανάκτησης κατοχής, παρόλο που είναι αδιαμφισβήτητο ότι τέτοια άδεια δεν έπρεπε να είχε δοθεί αφού δεν απεδείχθη ότι όλα τα πρόσωπα τα οποία έχουν την πραγματική κατοχή του ακινήτου είχαν λάβει ειδοποίηση για τη διαδικασία. </w:t>
      </w:r>
    </w:p>
    <w:p w14:paraId="424AE58B" w14:textId="64D55CEA" w:rsidR="00D70809" w:rsidRDefault="00A9472E" w:rsidP="0000790C">
      <w:pPr>
        <w:spacing w:line="480" w:lineRule="auto"/>
        <w:ind w:right="-35"/>
        <w:jc w:val="both"/>
        <w:rPr>
          <w:rFonts w:ascii="Bookman Old Style" w:hAnsi="Bookman Old Style" w:cs="Arial"/>
          <w:sz w:val="28"/>
          <w:szCs w:val="28"/>
          <w:lang w:val="el-GR"/>
        </w:rPr>
      </w:pPr>
      <w:r w:rsidRPr="00964D63">
        <w:rPr>
          <w:rFonts w:ascii="Bookman Old Style" w:hAnsi="Bookman Old Style" w:cs="Arial"/>
          <w:b/>
          <w:bCs/>
          <w:sz w:val="28"/>
          <w:szCs w:val="28"/>
          <w:lang w:val="el-GR"/>
        </w:rPr>
        <w:t>(δ)</w:t>
      </w:r>
      <w:r>
        <w:rPr>
          <w:rFonts w:ascii="Bookman Old Style" w:hAnsi="Bookman Old Style" w:cs="Arial"/>
          <w:sz w:val="28"/>
          <w:szCs w:val="28"/>
          <w:lang w:val="el-GR"/>
        </w:rPr>
        <w:t xml:space="preserve"> Το Κατώτερο Δικαστήριο εσφαλμένα και με πλάνη περί του Νόμου αγνόησε το γεγονός ότι στο </w:t>
      </w:r>
      <w:r w:rsidR="00FB0ED2">
        <w:rPr>
          <w:rFonts w:ascii="Bookman Old Style" w:hAnsi="Bookman Old Style" w:cs="Arial"/>
          <w:sz w:val="28"/>
          <w:szCs w:val="28"/>
          <w:lang w:val="el-GR"/>
        </w:rPr>
        <w:t>Έν</w:t>
      </w:r>
      <w:r>
        <w:rPr>
          <w:rFonts w:ascii="Bookman Old Style" w:hAnsi="Bookman Old Style" w:cs="Arial"/>
          <w:sz w:val="28"/>
          <w:szCs w:val="28"/>
          <w:lang w:val="el-GR"/>
        </w:rPr>
        <w:t xml:space="preserve">ταλμα αναφέρονται χαρακτηριστικά </w:t>
      </w:r>
      <w:r w:rsidR="00D70809">
        <w:rPr>
          <w:rFonts w:ascii="Bookman Old Style" w:hAnsi="Bookman Old Style" w:cs="Arial"/>
          <w:sz w:val="28"/>
          <w:szCs w:val="28"/>
          <w:lang w:val="el-GR"/>
        </w:rPr>
        <w:t xml:space="preserve">ακινήτου που δεν υπάρχουν ούτε στα κτηματολογικά μητρώα, ούτε στην πραγματικότητα, γεγονός που σημαίνει ότι η οποιαδήποτε εκτέλεση του </w:t>
      </w:r>
      <w:r w:rsidR="004B4158">
        <w:rPr>
          <w:rFonts w:ascii="Bookman Old Style" w:hAnsi="Bookman Old Style" w:cs="Arial"/>
          <w:sz w:val="28"/>
          <w:szCs w:val="28"/>
          <w:lang w:val="el-GR"/>
        </w:rPr>
        <w:t>Ε</w:t>
      </w:r>
      <w:r w:rsidR="00D70809">
        <w:rPr>
          <w:rFonts w:ascii="Bookman Old Style" w:hAnsi="Bookman Old Style" w:cs="Arial"/>
          <w:sz w:val="28"/>
          <w:szCs w:val="28"/>
          <w:lang w:val="el-GR"/>
        </w:rPr>
        <w:t>ντάλματος θα είναι παράνομη.</w:t>
      </w:r>
    </w:p>
    <w:p w14:paraId="28E079BA" w14:textId="6E19B8A5" w:rsidR="00D70809" w:rsidRDefault="00D70809" w:rsidP="0000790C">
      <w:pPr>
        <w:spacing w:line="480" w:lineRule="auto"/>
        <w:ind w:right="-35"/>
        <w:jc w:val="both"/>
        <w:rPr>
          <w:rFonts w:ascii="Bookman Old Style" w:hAnsi="Bookman Old Style" w:cs="Arial"/>
          <w:sz w:val="28"/>
          <w:szCs w:val="28"/>
          <w:lang w:val="el-GR"/>
        </w:rPr>
      </w:pPr>
      <w:r w:rsidRPr="00964D63">
        <w:rPr>
          <w:rFonts w:ascii="Bookman Old Style" w:hAnsi="Bookman Old Style" w:cs="Arial"/>
          <w:b/>
          <w:bCs/>
          <w:sz w:val="28"/>
          <w:szCs w:val="28"/>
          <w:lang w:val="el-GR"/>
        </w:rPr>
        <w:t>(ε)</w:t>
      </w:r>
      <w:r>
        <w:rPr>
          <w:rFonts w:ascii="Bookman Old Style" w:hAnsi="Bookman Old Style" w:cs="Arial"/>
          <w:sz w:val="28"/>
          <w:szCs w:val="28"/>
          <w:lang w:val="el-GR"/>
        </w:rPr>
        <w:t xml:space="preserve"> Το Κατώτερο Δικαστήριο εσφαλμένα αγνόησε την ύπαρξη έφεσης, ήτοι της Πολιτικής Έφεσης 9/2023, στην οποία η απόφαση επιφυλάχθηκε, όπου τυχόν επιτυχία των Αιτητών θα έχει αντιφατικό αποτέλεσμα με την προσβαλλόμενη Απόφαση.</w:t>
      </w:r>
    </w:p>
    <w:p w14:paraId="46EE1877" w14:textId="77777777" w:rsidR="00D70809" w:rsidRDefault="00D70809" w:rsidP="0000790C">
      <w:pPr>
        <w:spacing w:line="480" w:lineRule="auto"/>
        <w:ind w:right="-35"/>
        <w:jc w:val="both"/>
        <w:rPr>
          <w:rFonts w:ascii="Bookman Old Style" w:hAnsi="Bookman Old Style" w:cs="Arial"/>
          <w:sz w:val="28"/>
          <w:szCs w:val="28"/>
          <w:lang w:val="el-GR"/>
        </w:rPr>
      </w:pPr>
    </w:p>
    <w:p w14:paraId="61C70701" w14:textId="1D262A9A" w:rsidR="00D70809" w:rsidRDefault="009C142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ευπαίδευτη συνήγορος των Αιτητών προώθησε τους πιο πάνω λόγους με γραπτή αγόρευση, αλλά και δια ζώσης κατά την επ’ ακροατηρίω συζήτηση της Αίτησης.</w:t>
      </w:r>
    </w:p>
    <w:p w14:paraId="25CFBFBE" w14:textId="4BDF538C" w:rsidR="00D7355B" w:rsidRPr="00D7355B" w:rsidRDefault="00D7355B" w:rsidP="00D7355B">
      <w:pPr>
        <w:spacing w:line="480" w:lineRule="auto"/>
        <w:jc w:val="both"/>
        <w:rPr>
          <w:rFonts w:ascii="Bookman Old Style" w:hAnsi="Bookman Old Style" w:cs="Arial"/>
          <w:sz w:val="28"/>
          <w:szCs w:val="28"/>
          <w:lang w:val="el-GR"/>
        </w:rPr>
      </w:pPr>
      <w:r w:rsidRPr="00D7355B">
        <w:rPr>
          <w:rFonts w:ascii="Bookman Old Style" w:hAnsi="Bookman Old Style" w:cs="Arial"/>
          <w:sz w:val="28"/>
          <w:szCs w:val="28"/>
          <w:lang w:val="el-GR"/>
        </w:rPr>
        <w:t xml:space="preserve">Οι αρχές που διέπουν την έκδοση Προνομιακών Διαταγμάτων είναι παγιωμένες και χιλιοειπωμένες, ώστε να μην χρειάζεται να λεχθούν πολλά υπό το φως της πλούσιας νομολογίας του Ανωτάτου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sidRPr="00D7355B">
        <w:rPr>
          <w:rFonts w:ascii="Bookman Old Style" w:hAnsi="Bookman Old Style" w:cs="Arial"/>
          <w:b/>
          <w:bCs/>
          <w:i/>
          <w:iCs/>
          <w:sz w:val="28"/>
          <w:szCs w:val="28"/>
          <w:lang w:val="el-GR"/>
        </w:rPr>
        <w:t xml:space="preserve">Αίτηση του Κωνσταντινίδη (2003) 1 Α.Α.Δ. 1298 </w:t>
      </w:r>
      <w:r w:rsidRPr="00D7355B">
        <w:rPr>
          <w:rFonts w:ascii="Bookman Old Style" w:hAnsi="Bookman Old Style" w:cs="Arial"/>
          <w:sz w:val="28"/>
          <w:szCs w:val="28"/>
          <w:lang w:val="el-GR"/>
        </w:rPr>
        <w:t xml:space="preserve">και </w:t>
      </w:r>
      <w:r w:rsidRPr="00D7355B">
        <w:rPr>
          <w:rFonts w:ascii="Bookman Old Style" w:hAnsi="Bookman Old Style" w:cs="Arial"/>
          <w:b/>
          <w:bCs/>
          <w:i/>
          <w:iCs/>
          <w:sz w:val="28"/>
          <w:szCs w:val="28"/>
        </w:rPr>
        <w:t>Perrella</w:t>
      </w:r>
      <w:r w:rsidRPr="00D7355B">
        <w:rPr>
          <w:rFonts w:ascii="Bookman Old Style" w:hAnsi="Bookman Old Style" w:cs="Arial"/>
          <w:b/>
          <w:bCs/>
          <w:i/>
          <w:iCs/>
          <w:sz w:val="28"/>
          <w:szCs w:val="28"/>
          <w:lang w:val="el-GR"/>
        </w:rPr>
        <w:t xml:space="preserve"> (Αρ. 2) (1995) </w:t>
      </w:r>
      <w:r>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lang w:val="el-GR"/>
        </w:rPr>
        <w:t>1 Α.Α.Δ. 692</w:t>
      </w:r>
      <w:r w:rsidRPr="00D7355B">
        <w:rPr>
          <w:rFonts w:ascii="Bookman Old Style" w:hAnsi="Bookman Old Style" w:cs="Arial"/>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sidRPr="00D7355B">
        <w:rPr>
          <w:rFonts w:ascii="Bookman Old Style" w:hAnsi="Bookman Old Style" w:cs="Arial"/>
          <w:b/>
          <w:bCs/>
          <w:i/>
          <w:iCs/>
          <w:sz w:val="28"/>
          <w:szCs w:val="28"/>
        </w:rPr>
        <w:t>Base</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Metal</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Trading</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Ltd</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v</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Fastact</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Developments</w:t>
      </w:r>
      <w:r w:rsidRPr="00D7355B">
        <w:rPr>
          <w:rFonts w:ascii="Bookman Old Style" w:hAnsi="Bookman Old Style" w:cs="Arial"/>
          <w:b/>
          <w:bCs/>
          <w:i/>
          <w:iCs/>
          <w:sz w:val="28"/>
          <w:szCs w:val="28"/>
          <w:lang w:val="el-GR"/>
        </w:rPr>
        <w:t xml:space="preserve"> </w:t>
      </w:r>
      <w:r w:rsidRPr="00D7355B">
        <w:rPr>
          <w:rFonts w:ascii="Bookman Old Style" w:hAnsi="Bookman Old Style" w:cs="Arial"/>
          <w:b/>
          <w:bCs/>
          <w:i/>
          <w:iCs/>
          <w:sz w:val="28"/>
          <w:szCs w:val="28"/>
        </w:rPr>
        <w:t>Ltd</w:t>
      </w:r>
      <w:r w:rsidRPr="00D7355B">
        <w:rPr>
          <w:rFonts w:ascii="Bookman Old Style" w:hAnsi="Bookman Old Style" w:cs="Arial"/>
          <w:b/>
          <w:bCs/>
          <w:i/>
          <w:iCs/>
          <w:sz w:val="28"/>
          <w:szCs w:val="28"/>
          <w:lang w:val="el-GR"/>
        </w:rPr>
        <w:t xml:space="preserve"> κ.ά. (2004) 1 Α.Α.Δ. 1535 </w:t>
      </w:r>
      <w:r w:rsidRPr="00D7355B">
        <w:rPr>
          <w:rFonts w:ascii="Bookman Old Style" w:hAnsi="Bookman Old Style" w:cs="Arial"/>
          <w:sz w:val="28"/>
          <w:szCs w:val="28"/>
          <w:lang w:val="el-GR"/>
        </w:rPr>
        <w:t xml:space="preserve">και </w:t>
      </w:r>
      <w:r w:rsidRPr="00D7355B">
        <w:rPr>
          <w:rFonts w:ascii="Bookman Old Style" w:hAnsi="Bookman Old Style" w:cs="Arial"/>
          <w:b/>
          <w:bCs/>
          <w:i/>
          <w:iCs/>
          <w:sz w:val="28"/>
          <w:szCs w:val="28"/>
          <w:lang w:val="el-GR"/>
        </w:rPr>
        <w:t>Τράπεζα Κύπρου Δημόσια Εταιρεία Λτδ κ.ά. (2012) 1 Α.Α.Δ. 878</w:t>
      </w:r>
      <w:r w:rsidRPr="00D7355B">
        <w:rPr>
          <w:rFonts w:ascii="Bookman Old Style" w:hAnsi="Bookman Old Style" w:cs="Arial"/>
          <w:sz w:val="28"/>
          <w:szCs w:val="28"/>
          <w:lang w:val="el-GR"/>
        </w:rPr>
        <w:t>).</w:t>
      </w:r>
    </w:p>
    <w:p w14:paraId="2DFB9D5D" w14:textId="77777777" w:rsidR="00D7355B" w:rsidRPr="00D7355B" w:rsidRDefault="00D7355B" w:rsidP="00D7355B">
      <w:pPr>
        <w:spacing w:line="480" w:lineRule="auto"/>
        <w:jc w:val="both"/>
        <w:rPr>
          <w:rFonts w:ascii="Bookman Old Style" w:hAnsi="Bookman Old Style" w:cs="Arial"/>
          <w:sz w:val="28"/>
          <w:szCs w:val="28"/>
          <w:lang w:val="el-GR"/>
        </w:rPr>
      </w:pPr>
    </w:p>
    <w:p w14:paraId="28D0BB40" w14:textId="6F7FF4F2" w:rsidR="00D7355B" w:rsidRDefault="00D7355B" w:rsidP="00D7355B">
      <w:pPr>
        <w:spacing w:line="480" w:lineRule="auto"/>
        <w:jc w:val="both"/>
        <w:rPr>
          <w:rFonts w:ascii="Bookman Old Style" w:hAnsi="Bookman Old Style" w:cs="Arial"/>
          <w:sz w:val="28"/>
          <w:szCs w:val="28"/>
          <w:lang w:val="el-GR"/>
        </w:rPr>
      </w:pPr>
      <w:r w:rsidRPr="00D7355B">
        <w:rPr>
          <w:rFonts w:ascii="Bookman Old Style" w:hAnsi="Bookman Old Style" w:cs="Arial"/>
          <w:sz w:val="28"/>
          <w:szCs w:val="28"/>
          <w:lang w:val="el-GR"/>
        </w:rPr>
        <w:t xml:space="preserve">Έχει πλειστάκις αναφερθεί στη νομολογία ότι είναι στους ώμους του </w:t>
      </w:r>
      <w:r w:rsidR="004B4158">
        <w:rPr>
          <w:rFonts w:ascii="Bookman Old Style" w:hAnsi="Bookman Old Style" w:cs="Arial"/>
          <w:sz w:val="28"/>
          <w:szCs w:val="28"/>
          <w:lang w:val="el-GR"/>
        </w:rPr>
        <w:t>α</w:t>
      </w:r>
      <w:r w:rsidRPr="00D7355B">
        <w:rPr>
          <w:rFonts w:ascii="Bookman Old Style" w:hAnsi="Bookman Old Style" w:cs="Arial"/>
          <w:sz w:val="28"/>
          <w:szCs w:val="28"/>
          <w:lang w:val="el-GR"/>
        </w:rPr>
        <w:t>ιτητή το βάρος να καταδείξει συζητήσιμη υπόθεση. Ενδιαφέρει η νομιμότητα των ελεγχόμενων ενεργειών, αφού δεν μπορεί αντικείμενο της παρούσας διαδικασίας να είναι η ορθότητα, ούτε ο τρόπος άσκησης της διακριτικής ευχέρειας του Δικαστηρίου.</w:t>
      </w:r>
    </w:p>
    <w:p w14:paraId="0E9D5018" w14:textId="7589E8BC" w:rsidR="00FA41E9" w:rsidRDefault="00FA41E9" w:rsidP="00FB0ED2">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τονίσθηκε στην υπόθεση </w:t>
      </w:r>
      <w:r>
        <w:rPr>
          <w:rFonts w:ascii="Bookman Old Style" w:hAnsi="Bookman Old Style"/>
          <w:b/>
          <w:bCs/>
          <w:i/>
          <w:iCs/>
          <w:sz w:val="28"/>
          <w:szCs w:val="28"/>
          <w:lang w:val="el-GR"/>
        </w:rPr>
        <w:t>Αναφορικά με την Αίτηση του Γενικού Εισαγγελέα της Δημοκρατίας (Αρ. 2) (1997) 1Β Α.Α.Δ. 925, 935</w:t>
      </w:r>
      <w:r>
        <w:rPr>
          <w:rFonts w:ascii="Bookman Old Style" w:hAnsi="Bookman Old Style"/>
          <w:sz w:val="28"/>
          <w:szCs w:val="28"/>
          <w:lang w:val="el-GR"/>
        </w:rPr>
        <w:t>:</w:t>
      </w:r>
    </w:p>
    <w:p w14:paraId="44167239" w14:textId="77777777" w:rsidR="00FA41E9" w:rsidRDefault="00FA41E9" w:rsidP="00FB0ED2">
      <w:pPr>
        <w:jc w:val="both"/>
        <w:rPr>
          <w:lang w:val="el-GR"/>
        </w:rPr>
      </w:pPr>
      <w:r>
        <w:t> </w:t>
      </w:r>
    </w:p>
    <w:p w14:paraId="2C28D5D1" w14:textId="2AF2EB62" w:rsidR="00FA41E9" w:rsidRPr="00964D63" w:rsidRDefault="00FA41E9" w:rsidP="00FB0ED2">
      <w:pPr>
        <w:tabs>
          <w:tab w:val="left" w:pos="6521"/>
        </w:tabs>
        <w:spacing w:line="276" w:lineRule="auto"/>
        <w:ind w:left="426" w:right="390"/>
        <w:jc w:val="both"/>
        <w:rPr>
          <w:rFonts w:ascii="Bookman Old Style" w:hAnsi="Bookman Old Style"/>
          <w:sz w:val="28"/>
          <w:szCs w:val="28"/>
          <w:lang w:val="el-GR"/>
        </w:rPr>
      </w:pPr>
      <w:r w:rsidRPr="00964D63">
        <w:rPr>
          <w:rFonts w:ascii="Bookman Old Style" w:hAnsi="Bookman Old Style"/>
          <w:sz w:val="28"/>
          <w:szCs w:val="28"/>
          <w:lang w:val="el-GR"/>
        </w:rPr>
        <w:t>«</w:t>
      </w:r>
      <w:r w:rsidRPr="00964D63">
        <w:rPr>
          <w:rFonts w:ascii="Bookman Old Style" w:hAnsi="Bookman Old Style"/>
          <w:i/>
          <w:iCs/>
          <w:sz w:val="28"/>
          <w:szCs w:val="28"/>
          <w:lang w:val="el-GR"/>
        </w:rPr>
        <w:t xml:space="preserve">Αντικείμενο της διαδικασίας δεν είναι ο έλεγχος της ορθότητας μιας απόφασης αλλά της νομιμότητας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Ανωτάτου Δικαστηρίου. Δεν εκδίδεται ένταλμα </w:t>
      </w:r>
      <w:r w:rsidRPr="00964D63">
        <w:rPr>
          <w:rFonts w:ascii="Bookman Old Style" w:hAnsi="Bookman Old Style"/>
          <w:i/>
          <w:iCs/>
          <w:sz w:val="28"/>
          <w:szCs w:val="28"/>
          <w:lang w:val="en-US"/>
        </w:rPr>
        <w:t>Certiorari</w:t>
      </w:r>
      <w:r w:rsidRPr="00964D63">
        <w:rPr>
          <w:rFonts w:ascii="Bookman Old Style" w:hAnsi="Bookman Old Style"/>
          <w:i/>
          <w:iCs/>
          <w:sz w:val="28"/>
          <w:szCs w:val="28"/>
          <w:lang w:val="el-GR"/>
        </w:rPr>
        <w:t xml:space="preserve"> ως μανδύας μεταμφιεσμένης έφεσης. Ούτε και μπορεί να χρησιμοποιείται η διαδικασία για την έκδοση τέτοιου διατάγματος προκειμένου να γίνει επανακρόαση του ζητήματος που εγέρθηκε. Και δεν είναι επιτρεπτό να εκδίδεται ένταλμα </w:t>
      </w:r>
      <w:r w:rsidRPr="00964D63">
        <w:rPr>
          <w:rFonts w:ascii="Bookman Old Style" w:hAnsi="Bookman Old Style"/>
          <w:i/>
          <w:iCs/>
          <w:sz w:val="28"/>
          <w:szCs w:val="28"/>
          <w:lang w:val="en-US"/>
        </w:rPr>
        <w:t>Certiorari</w:t>
      </w:r>
      <w:r w:rsidRPr="00964D63">
        <w:rPr>
          <w:rFonts w:ascii="Bookman Old Style" w:hAnsi="Bookman Old Style"/>
          <w:i/>
          <w:iCs/>
          <w:sz w:val="28"/>
          <w:szCs w:val="28"/>
          <w:lang w:val="el-GR"/>
        </w:rPr>
        <w:t xml:space="preserve"> προκειμένου να υπαγορευθεί σε Δικαστήριο ο τρόπος με τον οποίο θα </w:t>
      </w:r>
      <w:r w:rsidRPr="00964D63">
        <w:rPr>
          <w:rFonts w:ascii="Bookman Old Style" w:hAnsi="Bookman Old Style"/>
          <w:b/>
          <w:bCs/>
          <w:i/>
          <w:iCs/>
          <w:sz w:val="28"/>
          <w:szCs w:val="28"/>
          <w:lang w:val="el-GR"/>
        </w:rPr>
        <w:t xml:space="preserve">πρέπει </w:t>
      </w:r>
      <w:r w:rsidRPr="00964D63">
        <w:rPr>
          <w:rFonts w:ascii="Bookman Old Style" w:hAnsi="Bookman Old Style"/>
          <w:i/>
          <w:iCs/>
          <w:sz w:val="28"/>
          <w:szCs w:val="28"/>
          <w:lang w:val="el-GR"/>
        </w:rPr>
        <w:t xml:space="preserve">να αποφασιστεί ζήτημα που εμπίπτει στη δικαιοδοσία του ή ακόμα ο τρόπος που θα ασκήσει τη διακριτική του εξουσία. (Βλέπε </w:t>
      </w:r>
      <w:r w:rsidRPr="00964D63">
        <w:rPr>
          <w:rFonts w:ascii="Bookman Old Style" w:hAnsi="Bookman Old Style"/>
          <w:b/>
          <w:bCs/>
          <w:i/>
          <w:iCs/>
          <w:sz w:val="28"/>
          <w:szCs w:val="28"/>
          <w:lang w:val="en-US"/>
        </w:rPr>
        <w:t>Re</w:t>
      </w:r>
      <w:r w:rsidRPr="00964D63">
        <w:rPr>
          <w:rFonts w:ascii="Bookman Old Style" w:hAnsi="Bookman Old Style"/>
          <w:b/>
          <w:bCs/>
          <w:i/>
          <w:iCs/>
          <w:sz w:val="28"/>
          <w:szCs w:val="28"/>
          <w:lang w:val="el-GR"/>
        </w:rPr>
        <w:t xml:space="preserve"> </w:t>
      </w:r>
      <w:r w:rsidRPr="00964D63">
        <w:rPr>
          <w:rFonts w:ascii="Bookman Old Style" w:hAnsi="Bookman Old Style"/>
          <w:b/>
          <w:bCs/>
          <w:i/>
          <w:iCs/>
          <w:sz w:val="28"/>
          <w:szCs w:val="28"/>
          <w:lang w:val="en-US"/>
        </w:rPr>
        <w:t>Mareware</w:t>
      </w:r>
      <w:r w:rsidRPr="00964D63">
        <w:rPr>
          <w:rFonts w:ascii="Bookman Old Style" w:hAnsi="Bookman Old Style"/>
          <w:b/>
          <w:bCs/>
          <w:i/>
          <w:iCs/>
          <w:sz w:val="28"/>
          <w:szCs w:val="28"/>
          <w:lang w:val="el-GR"/>
        </w:rPr>
        <w:t xml:space="preserve"> </w:t>
      </w:r>
      <w:r w:rsidRPr="00964D63">
        <w:rPr>
          <w:rFonts w:ascii="Bookman Old Style" w:hAnsi="Bookman Old Style"/>
          <w:b/>
          <w:bCs/>
          <w:i/>
          <w:iCs/>
          <w:sz w:val="28"/>
          <w:szCs w:val="28"/>
          <w:lang w:val="en-US"/>
        </w:rPr>
        <w:t>Shipping</w:t>
      </w:r>
      <w:r w:rsidRPr="00964D63">
        <w:rPr>
          <w:rFonts w:ascii="Bookman Old Style" w:hAnsi="Bookman Old Style"/>
          <w:b/>
          <w:bCs/>
          <w:i/>
          <w:iCs/>
          <w:sz w:val="28"/>
          <w:szCs w:val="28"/>
          <w:lang w:val="el-GR"/>
        </w:rPr>
        <w:t xml:space="preserve">, </w:t>
      </w:r>
      <w:r w:rsidRPr="00964D63">
        <w:rPr>
          <w:rFonts w:ascii="Bookman Old Style" w:hAnsi="Bookman Old Style"/>
          <w:i/>
          <w:iCs/>
          <w:sz w:val="28"/>
          <w:szCs w:val="28"/>
          <w:lang w:val="el-GR"/>
        </w:rPr>
        <w:t xml:space="preserve">Αίτηση 6/92/24.1.92 και </w:t>
      </w:r>
      <w:r w:rsidRPr="00964D63">
        <w:rPr>
          <w:rFonts w:ascii="Bookman Old Style" w:hAnsi="Bookman Old Style"/>
          <w:b/>
          <w:bCs/>
          <w:i/>
          <w:iCs/>
          <w:sz w:val="28"/>
          <w:szCs w:val="28"/>
          <w:lang w:val="el-GR"/>
        </w:rPr>
        <w:t xml:space="preserve">Τζεννάρο Περέλλα, </w:t>
      </w:r>
      <w:r w:rsidRPr="00964D63">
        <w:rPr>
          <w:rFonts w:ascii="Bookman Old Style" w:hAnsi="Bookman Old Style"/>
          <w:i/>
          <w:iCs/>
          <w:sz w:val="28"/>
          <w:szCs w:val="28"/>
          <w:lang w:val="el-GR"/>
        </w:rPr>
        <w:t>Πολιτική 'Εφεση 9169/18.7.95)</w:t>
      </w:r>
      <w:r w:rsidRPr="00964D63">
        <w:rPr>
          <w:rFonts w:ascii="Bookman Old Style" w:hAnsi="Bookman Old Style"/>
          <w:sz w:val="28"/>
          <w:szCs w:val="28"/>
          <w:lang w:val="el-GR"/>
        </w:rPr>
        <w:t>.»</w:t>
      </w:r>
    </w:p>
    <w:p w14:paraId="359F75FD" w14:textId="77777777" w:rsidR="00FA41E9" w:rsidRDefault="00FA41E9" w:rsidP="00FB0ED2">
      <w:pPr>
        <w:tabs>
          <w:tab w:val="left" w:pos="6521"/>
        </w:tabs>
        <w:spacing w:line="276" w:lineRule="auto"/>
        <w:ind w:left="426" w:right="390"/>
        <w:jc w:val="both"/>
        <w:rPr>
          <w:rFonts w:ascii="Bookman Old Style" w:hAnsi="Bookman Old Style"/>
          <w:sz w:val="26"/>
          <w:szCs w:val="26"/>
          <w:lang w:val="el-GR"/>
        </w:rPr>
      </w:pPr>
    </w:p>
    <w:p w14:paraId="6930BAD5" w14:textId="77777777" w:rsidR="00FD62F6" w:rsidRDefault="00FD62F6" w:rsidP="00FB0ED2">
      <w:pPr>
        <w:tabs>
          <w:tab w:val="left" w:pos="6521"/>
        </w:tabs>
        <w:spacing w:line="276" w:lineRule="auto"/>
        <w:ind w:left="426" w:right="390"/>
        <w:jc w:val="both"/>
        <w:rPr>
          <w:rFonts w:ascii="Bookman Old Style" w:hAnsi="Bookman Old Style"/>
          <w:sz w:val="26"/>
          <w:szCs w:val="26"/>
          <w:lang w:val="el-GR"/>
        </w:rPr>
      </w:pPr>
    </w:p>
    <w:p w14:paraId="417E3431" w14:textId="77777777" w:rsidR="00FA41E9" w:rsidRDefault="00FA41E9" w:rsidP="00FB0ED2">
      <w:pPr>
        <w:tabs>
          <w:tab w:val="left" w:pos="6521"/>
        </w:tabs>
        <w:spacing w:line="276" w:lineRule="auto"/>
        <w:ind w:left="426" w:right="390"/>
        <w:jc w:val="both"/>
        <w:rPr>
          <w:rFonts w:ascii="Bookman Old Style" w:hAnsi="Bookman Old Style"/>
          <w:sz w:val="26"/>
          <w:szCs w:val="26"/>
          <w:lang w:val="el-GR"/>
        </w:rPr>
      </w:pPr>
    </w:p>
    <w:p w14:paraId="3B791EF6" w14:textId="6674BF01" w:rsidR="00FA41E9" w:rsidRDefault="00897040" w:rsidP="00FB0ED2">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Αντικείμενο εξέτασης ενώπιον του Κατώτερου Δικαστηρίου, όπως ήδη αναφέρθηκε ανωτέρω, ήταν η αίτηση για παραμερισμό του διατάγματος με το οποίο δόθηκε άδεια για έκδοση εντάλματος ανάκτησης κατοχής (</w:t>
      </w:r>
      <w:r>
        <w:rPr>
          <w:rFonts w:ascii="Bookman Old Style" w:hAnsi="Bookman Old Style" w:cs="Arial"/>
          <w:sz w:val="28"/>
          <w:szCs w:val="28"/>
          <w:lang w:val="en-US"/>
        </w:rPr>
        <w:t>Writ</w:t>
      </w:r>
      <w:r w:rsidRPr="00897040">
        <w:rPr>
          <w:rFonts w:ascii="Bookman Old Style" w:hAnsi="Bookman Old Style" w:cs="Arial"/>
          <w:sz w:val="28"/>
          <w:szCs w:val="28"/>
          <w:lang w:val="el-GR"/>
        </w:rPr>
        <w:t xml:space="preserve"> </w:t>
      </w:r>
      <w:r>
        <w:rPr>
          <w:rFonts w:ascii="Bookman Old Style" w:hAnsi="Bookman Old Style" w:cs="Arial"/>
          <w:sz w:val="28"/>
          <w:szCs w:val="28"/>
          <w:lang w:val="en-US"/>
        </w:rPr>
        <w:t>of</w:t>
      </w:r>
      <w:r w:rsidRPr="00897040">
        <w:rPr>
          <w:rFonts w:ascii="Bookman Old Style" w:hAnsi="Bookman Old Style" w:cs="Arial"/>
          <w:sz w:val="28"/>
          <w:szCs w:val="28"/>
          <w:lang w:val="el-GR"/>
        </w:rPr>
        <w:t xml:space="preserve"> </w:t>
      </w:r>
      <w:r>
        <w:rPr>
          <w:rFonts w:ascii="Bookman Old Style" w:hAnsi="Bookman Old Style" w:cs="Arial"/>
          <w:sz w:val="28"/>
          <w:szCs w:val="28"/>
          <w:lang w:val="en-US"/>
        </w:rPr>
        <w:t>Possession</w:t>
      </w:r>
      <w:r>
        <w:rPr>
          <w:rFonts w:ascii="Bookman Old Style" w:hAnsi="Bookman Old Style" w:cs="Arial"/>
          <w:sz w:val="28"/>
          <w:szCs w:val="28"/>
          <w:lang w:val="el-GR"/>
        </w:rPr>
        <w:t xml:space="preserve">). </w:t>
      </w:r>
      <w:r w:rsidR="001510AD">
        <w:rPr>
          <w:rFonts w:ascii="Bookman Old Style" w:hAnsi="Bookman Old Style" w:cs="Arial"/>
          <w:sz w:val="28"/>
          <w:szCs w:val="28"/>
          <w:lang w:val="el-GR"/>
        </w:rPr>
        <w:t xml:space="preserve">Όπως ορθά επεσήμανε και το Κατώτερο Δικαστήριο, με δεδομένο ότι η άδεια για έκδοση </w:t>
      </w:r>
      <w:r w:rsidR="004409FA">
        <w:rPr>
          <w:rFonts w:ascii="Bookman Old Style" w:hAnsi="Bookman Old Style" w:cs="Arial"/>
          <w:sz w:val="28"/>
          <w:szCs w:val="28"/>
          <w:lang w:val="el-GR"/>
        </w:rPr>
        <w:t>ε</w:t>
      </w:r>
      <w:r w:rsidR="001510AD">
        <w:rPr>
          <w:rFonts w:ascii="Bookman Old Style" w:hAnsi="Bookman Old Style" w:cs="Arial"/>
          <w:sz w:val="28"/>
          <w:szCs w:val="28"/>
          <w:lang w:val="el-GR"/>
        </w:rPr>
        <w:t xml:space="preserve">ντάλματος ανάκτησης κατοχής ακινήτου δίδεται με μονομερή αίτηση, οποιοδήποτε πρόσωπο επηρεάζεται από το διάταγμα με το οποίο παραχωρήθηκε η άδεια έκδοσης τέτοιου εντάλματος, μπορεί, με βάση τις πρόνοιες της </w:t>
      </w:r>
      <w:r w:rsidR="001510AD" w:rsidRPr="00761644">
        <w:rPr>
          <w:rFonts w:ascii="Bookman Old Style" w:hAnsi="Bookman Old Style" w:cs="Arial"/>
          <w:b/>
          <w:bCs/>
          <w:i/>
          <w:iCs/>
          <w:sz w:val="28"/>
          <w:szCs w:val="28"/>
          <w:lang w:val="el-GR"/>
        </w:rPr>
        <w:t>Δ. 48, (θ)(8)(4) των Θεσμών Πολιτικής Δικονομίας</w:t>
      </w:r>
      <w:r w:rsidR="00761644" w:rsidRPr="005F2CAA">
        <w:rPr>
          <w:rStyle w:val="FootnoteReference"/>
          <w:rFonts w:ascii="Bookman Old Style" w:hAnsi="Bookman Old Style" w:cs="Arial"/>
          <w:sz w:val="28"/>
          <w:szCs w:val="28"/>
          <w:lang w:val="el-GR"/>
        </w:rPr>
        <w:footnoteReference w:id="1"/>
      </w:r>
      <w:r w:rsidR="001510AD" w:rsidRPr="005F2CAA">
        <w:rPr>
          <w:rFonts w:ascii="Bookman Old Style" w:hAnsi="Bookman Old Style" w:cs="Arial"/>
          <w:sz w:val="28"/>
          <w:szCs w:val="28"/>
          <w:lang w:val="el-GR"/>
        </w:rPr>
        <w:t>,</w:t>
      </w:r>
      <w:r w:rsidR="001510AD">
        <w:rPr>
          <w:rFonts w:ascii="Bookman Old Style" w:hAnsi="Bookman Old Style" w:cs="Arial"/>
          <w:sz w:val="28"/>
          <w:szCs w:val="28"/>
          <w:lang w:val="el-GR"/>
        </w:rPr>
        <w:t xml:space="preserve"> να επιδιώξει την ακύρωση του διατάγματος με δια κλήσεως αίτηση, όπως ήταν και η διαδικασία που ακολουθήθηκε στην προκείμενη περίπτωση από τους Αιτητές.</w:t>
      </w:r>
    </w:p>
    <w:p w14:paraId="4FC39501" w14:textId="77777777" w:rsidR="00897040" w:rsidRDefault="00897040" w:rsidP="00D7355B">
      <w:pPr>
        <w:spacing w:line="480" w:lineRule="auto"/>
        <w:jc w:val="both"/>
        <w:rPr>
          <w:rFonts w:ascii="Bookman Old Style" w:hAnsi="Bookman Old Style" w:cs="Arial"/>
          <w:sz w:val="28"/>
          <w:szCs w:val="28"/>
          <w:lang w:val="el-GR"/>
        </w:rPr>
      </w:pPr>
    </w:p>
    <w:p w14:paraId="0E055211" w14:textId="4638E324" w:rsidR="00897040" w:rsidRPr="00FD62F6" w:rsidRDefault="00897040"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Δικαιοδοτική βάση έκδοσης του επίδικου </w:t>
      </w:r>
      <w:r w:rsidR="007E4121">
        <w:rPr>
          <w:rFonts w:ascii="Bookman Old Style" w:hAnsi="Bookman Old Style" w:cs="Arial"/>
          <w:sz w:val="28"/>
          <w:szCs w:val="28"/>
          <w:lang w:val="el-GR"/>
        </w:rPr>
        <w:t>Δ</w:t>
      </w:r>
      <w:r>
        <w:rPr>
          <w:rFonts w:ascii="Bookman Old Style" w:hAnsi="Bookman Old Style" w:cs="Arial"/>
          <w:sz w:val="28"/>
          <w:szCs w:val="28"/>
          <w:lang w:val="el-GR"/>
        </w:rPr>
        <w:t>ιατάγματος ήτο</w:t>
      </w:r>
      <w:r w:rsidR="007E4121">
        <w:rPr>
          <w:rFonts w:ascii="Bookman Old Style" w:hAnsi="Bookman Old Style" w:cs="Arial"/>
          <w:sz w:val="28"/>
          <w:szCs w:val="28"/>
          <w:lang w:val="el-GR"/>
        </w:rPr>
        <w:t>,</w:t>
      </w:r>
      <w:r>
        <w:rPr>
          <w:rFonts w:ascii="Bookman Old Style" w:hAnsi="Bookman Old Style" w:cs="Arial"/>
          <w:sz w:val="28"/>
          <w:szCs w:val="28"/>
          <w:lang w:val="el-GR"/>
        </w:rPr>
        <w:t xml:space="preserve"> βεβαίως</w:t>
      </w:r>
      <w:r w:rsidR="007E4121">
        <w:rPr>
          <w:rFonts w:ascii="Bookman Old Style" w:hAnsi="Bookman Old Style" w:cs="Arial"/>
          <w:sz w:val="28"/>
          <w:szCs w:val="28"/>
          <w:lang w:val="el-GR"/>
        </w:rPr>
        <w:t>,</w:t>
      </w:r>
      <w:r>
        <w:rPr>
          <w:rFonts w:ascii="Bookman Old Style" w:hAnsi="Bookman Old Style" w:cs="Arial"/>
          <w:sz w:val="28"/>
          <w:szCs w:val="28"/>
          <w:lang w:val="el-GR"/>
        </w:rPr>
        <w:t xml:space="preserve"> η                    </w:t>
      </w:r>
      <w:r w:rsidRPr="00761644">
        <w:rPr>
          <w:rFonts w:ascii="Bookman Old Style" w:hAnsi="Bookman Old Style" w:cs="Arial"/>
          <w:b/>
          <w:bCs/>
          <w:i/>
          <w:iCs/>
          <w:sz w:val="28"/>
          <w:szCs w:val="28"/>
          <w:lang w:val="el-GR"/>
        </w:rPr>
        <w:t>Δ. 43(Α)</w:t>
      </w:r>
      <w:r w:rsidRPr="00761644">
        <w:rPr>
          <w:rFonts w:ascii="Bookman Old Style" w:hAnsi="Bookman Old Style" w:cs="Arial"/>
          <w:i/>
          <w:iCs/>
          <w:sz w:val="28"/>
          <w:szCs w:val="28"/>
          <w:lang w:val="el-GR"/>
        </w:rPr>
        <w:t xml:space="preserve"> </w:t>
      </w:r>
      <w:r w:rsidRPr="00761644">
        <w:rPr>
          <w:rFonts w:ascii="Bookman Old Style" w:hAnsi="Bookman Old Style" w:cs="Arial"/>
          <w:b/>
          <w:bCs/>
          <w:i/>
          <w:iCs/>
          <w:sz w:val="28"/>
          <w:szCs w:val="28"/>
          <w:lang w:val="el-GR"/>
        </w:rPr>
        <w:t>των Θεσμών Πολιτικής Δικονομίας</w:t>
      </w:r>
      <w:r>
        <w:rPr>
          <w:rFonts w:ascii="Bookman Old Style" w:hAnsi="Bookman Old Style" w:cs="Arial"/>
          <w:sz w:val="28"/>
          <w:szCs w:val="28"/>
          <w:lang w:val="el-GR"/>
        </w:rPr>
        <w:t>, η οποία προνοεί τα εξής:</w:t>
      </w:r>
    </w:p>
    <w:p w14:paraId="5038338E" w14:textId="77777777" w:rsidR="00964D63" w:rsidRPr="00FD62F6" w:rsidRDefault="00964D63" w:rsidP="00964D63">
      <w:pPr>
        <w:spacing w:line="480" w:lineRule="auto"/>
        <w:ind w:right="390"/>
        <w:jc w:val="both"/>
        <w:rPr>
          <w:rFonts w:ascii="Bookman Old Style" w:hAnsi="Bookman Old Style" w:cs="Arial"/>
          <w:sz w:val="28"/>
          <w:szCs w:val="28"/>
          <w:lang w:val="el-GR"/>
        </w:rPr>
      </w:pPr>
    </w:p>
    <w:p w14:paraId="43882B6C" w14:textId="77777777" w:rsidR="00964D63" w:rsidRPr="00E566F1" w:rsidRDefault="00964D63" w:rsidP="00964D63">
      <w:pPr>
        <w:spacing w:line="276" w:lineRule="auto"/>
        <w:ind w:left="426" w:right="390"/>
        <w:jc w:val="both"/>
        <w:rPr>
          <w:rFonts w:ascii="Bookman Old Style" w:hAnsi="Bookman Old Style"/>
          <w:i/>
          <w:iCs/>
          <w:sz w:val="26"/>
          <w:szCs w:val="26"/>
          <w:lang w:val="en-US"/>
        </w:rPr>
      </w:pPr>
      <w:r w:rsidRPr="00964D63">
        <w:rPr>
          <w:rFonts w:ascii="Bookman Old Style" w:hAnsi="Bookman Old Style"/>
          <w:b/>
          <w:bCs/>
          <w:i/>
          <w:iCs/>
          <w:sz w:val="26"/>
          <w:szCs w:val="26"/>
        </w:rPr>
        <w:t>1.</w:t>
      </w:r>
      <w:r w:rsidRPr="00964D63">
        <w:rPr>
          <w:rFonts w:ascii="Bookman Old Style" w:hAnsi="Bookman Old Style"/>
          <w:i/>
          <w:iCs/>
          <w:sz w:val="26"/>
          <w:szCs w:val="26"/>
        </w:rPr>
        <w:t> </w:t>
      </w:r>
      <w:r w:rsidRPr="00964D63">
        <w:rPr>
          <w:rFonts w:ascii="Bookman Old Style" w:hAnsi="Bookman Old Style"/>
          <w:b/>
          <w:bCs/>
          <w:i/>
          <w:iCs/>
          <w:sz w:val="26"/>
          <w:szCs w:val="26"/>
        </w:rPr>
        <w:t>(1)</w:t>
      </w:r>
      <w:r w:rsidRPr="00964D63">
        <w:rPr>
          <w:rFonts w:ascii="Bookman Old Style" w:hAnsi="Bookman Old Style"/>
          <w:i/>
          <w:iCs/>
          <w:sz w:val="26"/>
          <w:szCs w:val="26"/>
        </w:rPr>
        <w:t> Where a judgment or order of a Court for the recovery or delivery of possession of any immovable property is sought to be enforced by a writ of possession, the writ may be issued by leave of the Court or a Judge obtained on an ex parte application by the plaintiff supported by an affidavit. The affidavit shall be in Form 39C and the writ in Form 39D.</w:t>
      </w:r>
    </w:p>
    <w:p w14:paraId="2666120B" w14:textId="77777777" w:rsidR="005F2CAA" w:rsidRPr="00E566F1" w:rsidRDefault="005F2CAA" w:rsidP="00964D63">
      <w:pPr>
        <w:spacing w:line="276" w:lineRule="auto"/>
        <w:ind w:left="426" w:right="390"/>
        <w:jc w:val="both"/>
        <w:rPr>
          <w:rFonts w:ascii="Bookman Old Style" w:hAnsi="Bookman Old Style"/>
          <w:i/>
          <w:iCs/>
          <w:sz w:val="26"/>
          <w:szCs w:val="26"/>
          <w:lang w:val="en-US"/>
        </w:rPr>
      </w:pPr>
    </w:p>
    <w:p w14:paraId="59F69989" w14:textId="77777777" w:rsidR="00964D63" w:rsidRPr="00E566F1" w:rsidRDefault="00964D63" w:rsidP="00964D63">
      <w:pPr>
        <w:spacing w:line="276" w:lineRule="auto"/>
        <w:ind w:left="426" w:right="390"/>
        <w:jc w:val="both"/>
        <w:rPr>
          <w:rFonts w:ascii="Bookman Old Style" w:hAnsi="Bookman Old Style"/>
          <w:i/>
          <w:iCs/>
          <w:sz w:val="26"/>
          <w:szCs w:val="26"/>
          <w:lang w:val="en-US"/>
        </w:rPr>
      </w:pPr>
      <w:r w:rsidRPr="00964D63">
        <w:rPr>
          <w:rFonts w:ascii="Bookman Old Style" w:hAnsi="Bookman Old Style"/>
          <w:b/>
          <w:bCs/>
          <w:i/>
          <w:iCs/>
          <w:sz w:val="26"/>
          <w:szCs w:val="26"/>
        </w:rPr>
        <w:t>(2)</w:t>
      </w:r>
      <w:r w:rsidRPr="00964D63">
        <w:rPr>
          <w:rFonts w:ascii="Bookman Old Style" w:hAnsi="Bookman Old Style"/>
          <w:i/>
          <w:iCs/>
          <w:sz w:val="26"/>
          <w:szCs w:val="26"/>
        </w:rPr>
        <w:t> Such leave shall not be given unless it is shown that all persons in actual possession of the whole or any part of the property have received such notice of the proceedings as may be considered sufficient to enable them to apply to the Court for relief or otherwise.</w:t>
      </w:r>
    </w:p>
    <w:p w14:paraId="07C1C7BE" w14:textId="77777777" w:rsidR="005F2CAA" w:rsidRPr="00E566F1" w:rsidRDefault="005F2CAA" w:rsidP="00964D63">
      <w:pPr>
        <w:spacing w:line="276" w:lineRule="auto"/>
        <w:ind w:left="426" w:right="390"/>
        <w:jc w:val="both"/>
        <w:rPr>
          <w:rFonts w:ascii="Bookman Old Style" w:hAnsi="Bookman Old Style"/>
          <w:i/>
          <w:iCs/>
          <w:sz w:val="26"/>
          <w:szCs w:val="26"/>
          <w:lang w:val="en-US"/>
        </w:rPr>
      </w:pPr>
    </w:p>
    <w:p w14:paraId="646D0BA9" w14:textId="77777777" w:rsidR="00964D63" w:rsidRPr="00E566F1" w:rsidRDefault="00964D63" w:rsidP="00964D63">
      <w:pPr>
        <w:spacing w:line="276" w:lineRule="auto"/>
        <w:ind w:left="426" w:right="390"/>
        <w:jc w:val="both"/>
        <w:rPr>
          <w:rFonts w:ascii="Bookman Old Style" w:hAnsi="Bookman Old Style"/>
          <w:i/>
          <w:iCs/>
          <w:sz w:val="26"/>
          <w:szCs w:val="26"/>
          <w:lang w:val="en-US"/>
        </w:rPr>
      </w:pPr>
      <w:r w:rsidRPr="00964D63">
        <w:rPr>
          <w:rFonts w:ascii="Bookman Old Style" w:hAnsi="Bookman Old Style"/>
          <w:b/>
          <w:bCs/>
          <w:i/>
          <w:iCs/>
          <w:sz w:val="26"/>
          <w:szCs w:val="26"/>
        </w:rPr>
        <w:t>2.</w:t>
      </w:r>
      <w:r w:rsidRPr="00964D63">
        <w:rPr>
          <w:rFonts w:ascii="Bookman Old Style" w:hAnsi="Bookman Old Style"/>
          <w:i/>
          <w:iCs/>
          <w:sz w:val="26"/>
          <w:szCs w:val="26"/>
        </w:rPr>
        <w:t> Upon any judgment or order for the recovery of any property and costs, there may be either one writ or separate writs of execution for the recovery of possession and for the costs at the option of the successful party.</w:t>
      </w:r>
    </w:p>
    <w:p w14:paraId="386A9B9E" w14:textId="77777777" w:rsidR="005F2CAA" w:rsidRPr="00E566F1" w:rsidRDefault="005F2CAA" w:rsidP="00964D63">
      <w:pPr>
        <w:spacing w:line="276" w:lineRule="auto"/>
        <w:ind w:left="426" w:right="390"/>
        <w:jc w:val="both"/>
        <w:rPr>
          <w:rFonts w:ascii="Bookman Old Style" w:hAnsi="Bookman Old Style"/>
          <w:i/>
          <w:iCs/>
          <w:sz w:val="26"/>
          <w:szCs w:val="26"/>
          <w:lang w:val="en-US"/>
        </w:rPr>
      </w:pPr>
    </w:p>
    <w:p w14:paraId="46654C01" w14:textId="77777777" w:rsidR="00964D63" w:rsidRPr="00FD62F6" w:rsidRDefault="00964D63" w:rsidP="00964D63">
      <w:pPr>
        <w:spacing w:line="276" w:lineRule="auto"/>
        <w:ind w:left="426" w:right="390"/>
        <w:jc w:val="both"/>
        <w:rPr>
          <w:rFonts w:ascii="Bookman Old Style" w:hAnsi="Bookman Old Style"/>
          <w:i/>
          <w:iCs/>
          <w:sz w:val="26"/>
          <w:szCs w:val="26"/>
          <w:lang w:val="en-US"/>
        </w:rPr>
      </w:pPr>
      <w:r w:rsidRPr="00964D63">
        <w:rPr>
          <w:rFonts w:ascii="Bookman Old Style" w:hAnsi="Bookman Old Style"/>
          <w:b/>
          <w:bCs/>
          <w:i/>
          <w:iCs/>
          <w:sz w:val="26"/>
          <w:szCs w:val="26"/>
        </w:rPr>
        <w:t>3.</w:t>
      </w:r>
      <w:r w:rsidRPr="00964D63">
        <w:rPr>
          <w:rFonts w:ascii="Bookman Old Style" w:hAnsi="Bookman Old Style"/>
          <w:i/>
          <w:iCs/>
          <w:sz w:val="26"/>
          <w:szCs w:val="26"/>
        </w:rPr>
        <w:t> Every writ of possession shall be passed to a bailiff for execution, and, where costs are to be recovered under the same writ, the provisions of Order 44 shall be observed in so far as they are applicable except that every writ of possession issued shall be entered in a separate register.</w:t>
      </w:r>
    </w:p>
    <w:p w14:paraId="1D6DF364" w14:textId="77777777" w:rsidR="00964D63" w:rsidRPr="00FD62F6" w:rsidRDefault="00964D63" w:rsidP="00964D63">
      <w:pPr>
        <w:spacing w:line="276" w:lineRule="auto"/>
        <w:ind w:left="426" w:right="390"/>
        <w:jc w:val="both"/>
        <w:rPr>
          <w:rFonts w:ascii="Bookman Old Style" w:hAnsi="Bookman Old Style"/>
          <w:i/>
          <w:iCs/>
          <w:sz w:val="26"/>
          <w:szCs w:val="26"/>
          <w:lang w:val="en-US"/>
        </w:rPr>
      </w:pPr>
    </w:p>
    <w:p w14:paraId="139B03FA" w14:textId="77777777" w:rsidR="00964D63" w:rsidRPr="00964D63" w:rsidRDefault="00964D63" w:rsidP="00964D63">
      <w:pPr>
        <w:spacing w:line="276" w:lineRule="auto"/>
        <w:ind w:left="426" w:right="390"/>
        <w:jc w:val="both"/>
        <w:rPr>
          <w:rFonts w:ascii="Bookman Old Style" w:hAnsi="Bookman Old Style"/>
          <w:i/>
          <w:iCs/>
          <w:sz w:val="26"/>
          <w:szCs w:val="26"/>
        </w:rPr>
      </w:pPr>
    </w:p>
    <w:p w14:paraId="03F77644" w14:textId="77777777" w:rsidR="00DF337C" w:rsidRPr="00FD62F6" w:rsidRDefault="00DF337C" w:rsidP="00964D63">
      <w:pPr>
        <w:spacing w:line="276" w:lineRule="auto"/>
        <w:jc w:val="both"/>
        <w:rPr>
          <w:rFonts w:ascii="Bookman Old Style" w:hAnsi="Bookman Old Style" w:cs="Arial"/>
          <w:sz w:val="26"/>
          <w:szCs w:val="26"/>
          <w:lang w:val="en-US"/>
        </w:rPr>
      </w:pPr>
    </w:p>
    <w:p w14:paraId="1DD5288C" w14:textId="37A605A7" w:rsidR="00FD62F6" w:rsidRDefault="00DF337C"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Το Κατώτερο Δικαστήριο</w:t>
      </w:r>
      <w:r w:rsidR="00913D16">
        <w:rPr>
          <w:rFonts w:ascii="Bookman Old Style" w:hAnsi="Bookman Old Style" w:cs="Arial"/>
          <w:sz w:val="28"/>
          <w:szCs w:val="28"/>
          <w:lang w:val="el-GR"/>
        </w:rPr>
        <w:t>,</w:t>
      </w:r>
      <w:r>
        <w:rPr>
          <w:rFonts w:ascii="Bookman Old Style" w:hAnsi="Bookman Old Style" w:cs="Arial"/>
          <w:sz w:val="28"/>
          <w:szCs w:val="28"/>
          <w:lang w:val="el-GR"/>
        </w:rPr>
        <w:t xml:space="preserve"> αφού εξέτασε τους προβαλλόμενους για σκοπούς παραμερισμού του επίδικου </w:t>
      </w:r>
      <w:r w:rsidR="00913D16">
        <w:rPr>
          <w:rFonts w:ascii="Bookman Old Style" w:hAnsi="Bookman Old Style" w:cs="Arial"/>
          <w:sz w:val="28"/>
          <w:szCs w:val="28"/>
          <w:lang w:val="el-GR"/>
        </w:rPr>
        <w:t>Δ</w:t>
      </w:r>
      <w:r>
        <w:rPr>
          <w:rFonts w:ascii="Bookman Old Style" w:hAnsi="Bookman Old Style" w:cs="Arial"/>
          <w:sz w:val="28"/>
          <w:szCs w:val="28"/>
          <w:lang w:val="el-GR"/>
        </w:rPr>
        <w:t>ιατάγματος λόγους, τους απέρριψε.</w:t>
      </w:r>
    </w:p>
    <w:p w14:paraId="24841A08" w14:textId="7AE77DE1" w:rsidR="00FD62F6" w:rsidRDefault="00DF337C"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30BD5ADC" w14:textId="13E193BA" w:rsidR="00DF337C" w:rsidRDefault="00557581"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Απορρίπτοντας το</w:t>
      </w:r>
      <w:r w:rsidR="00FD62F6">
        <w:rPr>
          <w:rFonts w:ascii="Bookman Old Style" w:hAnsi="Bookman Old Style" w:cs="Arial"/>
          <w:sz w:val="28"/>
          <w:szCs w:val="28"/>
          <w:lang w:val="el-GR"/>
        </w:rPr>
        <w:t xml:space="preserve">ν </w:t>
      </w:r>
      <w:r w:rsidR="00FD62F6" w:rsidRPr="00FD62F6">
        <w:rPr>
          <w:rFonts w:ascii="Bookman Old Style" w:hAnsi="Bookman Old Style" w:cs="Arial"/>
          <w:b/>
          <w:bCs/>
          <w:sz w:val="28"/>
          <w:szCs w:val="28"/>
          <w:lang w:val="el-GR"/>
        </w:rPr>
        <w:t>πρώτο</w:t>
      </w:r>
      <w:r w:rsidRPr="00FD62F6">
        <w:rPr>
          <w:rFonts w:ascii="Bookman Old Style" w:hAnsi="Bookman Old Style" w:cs="Arial"/>
          <w:b/>
          <w:bCs/>
          <w:sz w:val="28"/>
          <w:szCs w:val="28"/>
          <w:lang w:val="el-GR"/>
        </w:rPr>
        <w:t xml:space="preserve"> λόγο</w:t>
      </w:r>
      <w:r>
        <w:rPr>
          <w:rFonts w:ascii="Bookman Old Style" w:hAnsi="Bookman Old Style" w:cs="Arial"/>
          <w:sz w:val="28"/>
          <w:szCs w:val="28"/>
          <w:lang w:val="el-GR"/>
        </w:rPr>
        <w:t xml:space="preserve"> ότι ο μη παραμερισμός του επίδικου </w:t>
      </w:r>
      <w:r w:rsidR="00FD62F6">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θα έχει ως αποτέλεσμα οι Αιτητές να αποστερηθούν της ιδιοκτησίας </w:t>
      </w:r>
      <w:r w:rsidR="00C43BE5">
        <w:rPr>
          <w:rFonts w:ascii="Bookman Old Style" w:hAnsi="Bookman Old Style" w:cs="Arial"/>
          <w:sz w:val="28"/>
          <w:szCs w:val="28"/>
          <w:lang w:val="el-GR"/>
        </w:rPr>
        <w:t xml:space="preserve">τους, επεσήμανε ότι η </w:t>
      </w:r>
      <w:r w:rsidR="00C43BE5" w:rsidRPr="00761644">
        <w:rPr>
          <w:rFonts w:ascii="Bookman Old Style" w:hAnsi="Bookman Old Style" w:cs="Arial"/>
          <w:b/>
          <w:bCs/>
          <w:i/>
          <w:iCs/>
          <w:sz w:val="28"/>
          <w:szCs w:val="28"/>
          <w:lang w:val="el-GR"/>
        </w:rPr>
        <w:t>Δ. 43(Α)</w:t>
      </w:r>
      <w:r w:rsidR="00C43BE5">
        <w:rPr>
          <w:rFonts w:ascii="Bookman Old Style" w:hAnsi="Bookman Old Style" w:cs="Arial"/>
          <w:sz w:val="28"/>
          <w:szCs w:val="28"/>
          <w:lang w:val="el-GR"/>
        </w:rPr>
        <w:t xml:space="preserve"> αφορά </w:t>
      </w:r>
      <w:r w:rsidR="00FD62F6">
        <w:rPr>
          <w:rFonts w:ascii="Bookman Old Style" w:hAnsi="Bookman Old Style" w:cs="Arial"/>
          <w:sz w:val="28"/>
          <w:szCs w:val="28"/>
          <w:lang w:val="el-GR"/>
        </w:rPr>
        <w:t>σ</w:t>
      </w:r>
      <w:r w:rsidR="00C43BE5">
        <w:rPr>
          <w:rFonts w:ascii="Bookman Old Style" w:hAnsi="Bookman Old Style" w:cs="Arial"/>
          <w:sz w:val="28"/>
          <w:szCs w:val="28"/>
          <w:lang w:val="el-GR"/>
        </w:rPr>
        <w:t>την παραχώρηση άδειας έκδοσης εντάλματος ανάκτησης κατοχής ακινήτου και όχι της ιδιοκτησίας του ακινήτου</w:t>
      </w:r>
      <w:r w:rsidR="00F6603B">
        <w:rPr>
          <w:rFonts w:ascii="Bookman Old Style" w:hAnsi="Bookman Old Style" w:cs="Arial"/>
          <w:sz w:val="28"/>
          <w:szCs w:val="28"/>
          <w:lang w:val="el-GR"/>
        </w:rPr>
        <w:t xml:space="preserve"> και ότι αυτό που απαιτείται για σκοπούς παραχώρησης της σχετικής άδειας, </w:t>
      </w:r>
      <w:r w:rsidR="00F6603B" w:rsidRPr="00F6603B">
        <w:rPr>
          <w:rFonts w:ascii="Bookman Old Style" w:hAnsi="Bookman Old Style" w:cs="Arial"/>
          <w:sz w:val="28"/>
          <w:szCs w:val="28"/>
          <w:lang w:val="el-GR"/>
        </w:rPr>
        <w:t>«</w:t>
      </w:r>
      <w:r w:rsidR="00F6603B">
        <w:rPr>
          <w:rFonts w:ascii="Bookman Old Style" w:hAnsi="Bookman Old Style" w:cs="Arial"/>
          <w:i/>
          <w:iCs/>
          <w:sz w:val="28"/>
          <w:szCs w:val="28"/>
          <w:lang w:val="el-GR"/>
        </w:rPr>
        <w:t>είναι η ύπαρξη νόμιμου δικαιώματος κατοχής του ακινήτου και δεν αποτελεί προαπαιτούμενο και η ταυτόχρονη ύπαρξη δικαιώματος ιδιοκτησίας, είτε ακόμη μόνο αυτό</w:t>
      </w:r>
      <w:r w:rsidR="00F6603B">
        <w:rPr>
          <w:rFonts w:ascii="Bookman Old Style" w:hAnsi="Bookman Old Style" w:cs="Arial"/>
          <w:sz w:val="28"/>
          <w:szCs w:val="28"/>
          <w:lang w:val="el-GR"/>
        </w:rPr>
        <w:t>».</w:t>
      </w:r>
    </w:p>
    <w:p w14:paraId="18106003" w14:textId="77777777" w:rsidR="00F6603B" w:rsidRDefault="00F6603B" w:rsidP="00D7355B">
      <w:pPr>
        <w:spacing w:line="480" w:lineRule="auto"/>
        <w:jc w:val="both"/>
        <w:rPr>
          <w:rFonts w:ascii="Bookman Old Style" w:hAnsi="Bookman Old Style" w:cs="Arial"/>
          <w:sz w:val="28"/>
          <w:szCs w:val="28"/>
          <w:lang w:val="el-GR"/>
        </w:rPr>
      </w:pPr>
    </w:p>
    <w:p w14:paraId="7D1AE7EC" w14:textId="01CDC44E" w:rsidR="00F6603B" w:rsidRDefault="00F6603B"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Εξετάζοντας το </w:t>
      </w:r>
      <w:r w:rsidRPr="00FD62F6">
        <w:rPr>
          <w:rFonts w:ascii="Bookman Old Style" w:hAnsi="Bookman Old Style" w:cs="Arial"/>
          <w:b/>
          <w:bCs/>
          <w:sz w:val="28"/>
          <w:szCs w:val="28"/>
          <w:lang w:val="el-GR"/>
        </w:rPr>
        <w:t>δεύτερο λόγο</w:t>
      </w:r>
      <w:r>
        <w:rPr>
          <w:rFonts w:ascii="Bookman Old Style" w:hAnsi="Bookman Old Style" w:cs="Arial"/>
          <w:sz w:val="28"/>
          <w:szCs w:val="28"/>
          <w:lang w:val="el-GR"/>
        </w:rPr>
        <w:t xml:space="preserve"> με βάση τον οποίο προβλήθηκε ότι το επίδικο </w:t>
      </w:r>
      <w:r w:rsidR="00FD62F6">
        <w:rPr>
          <w:rFonts w:ascii="Bookman Old Style" w:hAnsi="Bookman Old Style" w:cs="Arial"/>
          <w:sz w:val="28"/>
          <w:szCs w:val="28"/>
          <w:lang w:val="el-GR"/>
        </w:rPr>
        <w:t>Δ</w:t>
      </w:r>
      <w:r>
        <w:rPr>
          <w:rFonts w:ascii="Bookman Old Style" w:hAnsi="Bookman Old Style" w:cs="Arial"/>
          <w:sz w:val="28"/>
          <w:szCs w:val="28"/>
          <w:lang w:val="el-GR"/>
        </w:rPr>
        <w:t xml:space="preserve">ιάταγμα είχε εκδοθεί κατά παράβαση της </w:t>
      </w:r>
      <w:r w:rsidRPr="00761644">
        <w:rPr>
          <w:rFonts w:ascii="Bookman Old Style" w:hAnsi="Bookman Old Style" w:cs="Arial"/>
          <w:b/>
          <w:bCs/>
          <w:i/>
          <w:iCs/>
          <w:sz w:val="28"/>
          <w:szCs w:val="28"/>
          <w:lang w:val="el-GR"/>
        </w:rPr>
        <w:t>Δ. 43(Α)</w:t>
      </w:r>
      <w:r>
        <w:rPr>
          <w:rFonts w:ascii="Bookman Old Style" w:hAnsi="Bookman Old Style" w:cs="Arial"/>
          <w:sz w:val="28"/>
          <w:szCs w:val="28"/>
          <w:lang w:val="el-GR"/>
        </w:rPr>
        <w:t xml:space="preserve"> λόγω του ότι δεν είχε επιδοθεί στους Αιτητές, το Κατώτερο Δικαστήριο ανέφερε ότι αυτό που οι Ενάγοντες όφειλαν να επιδώσουν και επέδωσαν στους Αιτητές προτού αποταθούν στο Δικαστήριο για έκδοση του επίδικου </w:t>
      </w:r>
      <w:r w:rsidR="007E4121">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ήταν η ερήμην </w:t>
      </w:r>
      <w:r w:rsidR="00FD62F6">
        <w:rPr>
          <w:rFonts w:ascii="Bookman Old Style" w:hAnsi="Bookman Old Style" w:cs="Arial"/>
          <w:sz w:val="28"/>
          <w:szCs w:val="28"/>
          <w:lang w:val="el-GR"/>
        </w:rPr>
        <w:t>Α</w:t>
      </w:r>
      <w:r>
        <w:rPr>
          <w:rFonts w:ascii="Bookman Old Style" w:hAnsi="Bookman Old Style" w:cs="Arial"/>
          <w:sz w:val="28"/>
          <w:szCs w:val="28"/>
          <w:lang w:val="el-GR"/>
        </w:rPr>
        <w:t xml:space="preserve">πόφαση ημερ. 21/9/2020 και το συμπληρωματικό </w:t>
      </w:r>
      <w:r w:rsidR="00FD62F6">
        <w:rPr>
          <w:rFonts w:ascii="Bookman Old Style" w:hAnsi="Bookman Old Style" w:cs="Arial"/>
          <w:sz w:val="28"/>
          <w:szCs w:val="28"/>
          <w:lang w:val="el-GR"/>
        </w:rPr>
        <w:t>Δ</w:t>
      </w:r>
      <w:r>
        <w:rPr>
          <w:rFonts w:ascii="Bookman Old Style" w:hAnsi="Bookman Old Style" w:cs="Arial"/>
          <w:sz w:val="28"/>
          <w:szCs w:val="28"/>
          <w:lang w:val="el-GR"/>
        </w:rPr>
        <w:t xml:space="preserve">ιάταγμα ημερ. 6/10/2020. </w:t>
      </w:r>
      <w:r w:rsidR="00913D16">
        <w:rPr>
          <w:rFonts w:ascii="Bookman Old Style" w:hAnsi="Bookman Old Style" w:cs="Arial"/>
          <w:sz w:val="28"/>
          <w:szCs w:val="28"/>
          <w:lang w:val="el-GR"/>
        </w:rPr>
        <w:t xml:space="preserve">Παρά την πιο πάνω κατάληξη του σε σχέση με το </w:t>
      </w:r>
      <w:r w:rsidR="00913D16" w:rsidRPr="00913D16">
        <w:rPr>
          <w:rFonts w:ascii="Bookman Old Style" w:hAnsi="Bookman Old Style" w:cs="Arial"/>
          <w:b/>
          <w:bCs/>
          <w:sz w:val="28"/>
          <w:szCs w:val="28"/>
          <w:lang w:val="el-GR"/>
        </w:rPr>
        <w:t>δεύτερο λόγο</w:t>
      </w:r>
      <w:r w:rsidR="004409FA">
        <w:rPr>
          <w:rFonts w:ascii="Bookman Old Style" w:hAnsi="Bookman Old Style" w:cs="Arial"/>
          <w:sz w:val="28"/>
          <w:szCs w:val="28"/>
          <w:lang w:val="el-GR"/>
        </w:rPr>
        <w:t>,</w:t>
      </w:r>
      <w:r w:rsidR="007E4121">
        <w:rPr>
          <w:rFonts w:ascii="Bookman Old Style" w:hAnsi="Bookman Old Style" w:cs="Arial"/>
          <w:b/>
          <w:bCs/>
          <w:sz w:val="28"/>
          <w:szCs w:val="28"/>
          <w:lang w:val="el-GR"/>
        </w:rPr>
        <w:t xml:space="preserve"> </w:t>
      </w:r>
      <w:r w:rsidR="007E4121" w:rsidRPr="007E4121">
        <w:rPr>
          <w:rFonts w:ascii="Bookman Old Style" w:hAnsi="Bookman Old Style" w:cs="Arial"/>
          <w:sz w:val="28"/>
          <w:szCs w:val="28"/>
          <w:lang w:val="el-GR"/>
        </w:rPr>
        <w:t>η οποία και οδήγησε στην απόρριψη του</w:t>
      </w:r>
      <w:r w:rsidR="00913D16">
        <w:rPr>
          <w:rFonts w:ascii="Bookman Old Style" w:hAnsi="Bookman Old Style" w:cs="Arial"/>
          <w:sz w:val="28"/>
          <w:szCs w:val="28"/>
          <w:lang w:val="el-GR"/>
        </w:rPr>
        <w:t>, το Κατώτερο Δικαστήριο θεώρησε ορθό να εξετάσει και την περίπτωση κατά την οποία δεν είχαν επιδοθεί είτε η ερήμην Απόφαση, είτε το συμπληρωματικό Διάταγμα, αναφέροντας ότι, σε μια τέτοια περίπτωση, δεν θα είχε την ευχέρεια παραμερισμού είτε του επίδικου Διατάγματος, είτε του επίδικου Εντάλματος στη βάση του ότι, αν το έπραττε, θα ενεργούσε ως Εφετείο του εαυτού του.</w:t>
      </w:r>
    </w:p>
    <w:p w14:paraId="3A029EE9" w14:textId="77777777" w:rsidR="00E012FB" w:rsidRDefault="00E012FB" w:rsidP="00D7355B">
      <w:pPr>
        <w:spacing w:line="480" w:lineRule="auto"/>
        <w:jc w:val="both"/>
        <w:rPr>
          <w:rFonts w:ascii="Bookman Old Style" w:hAnsi="Bookman Old Style" w:cs="Arial"/>
          <w:sz w:val="28"/>
          <w:szCs w:val="28"/>
          <w:lang w:val="el-GR"/>
        </w:rPr>
      </w:pPr>
    </w:p>
    <w:p w14:paraId="6C0CADD5" w14:textId="6C12F55A" w:rsidR="00E012FB" w:rsidRDefault="00E012FB" w:rsidP="00D7355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Απορρίπτοντας τον </w:t>
      </w:r>
      <w:r w:rsidRPr="00FD62F6">
        <w:rPr>
          <w:rFonts w:ascii="Bookman Old Style" w:hAnsi="Bookman Old Style" w:cs="Arial"/>
          <w:b/>
          <w:bCs/>
          <w:sz w:val="28"/>
          <w:szCs w:val="28"/>
          <w:lang w:val="el-GR"/>
        </w:rPr>
        <w:t>τρίτο λόγο</w:t>
      </w:r>
      <w:r>
        <w:rPr>
          <w:rFonts w:ascii="Bookman Old Style" w:hAnsi="Bookman Old Style" w:cs="Arial"/>
          <w:sz w:val="28"/>
          <w:szCs w:val="28"/>
          <w:lang w:val="el-GR"/>
        </w:rPr>
        <w:t xml:space="preserve"> με τον οποίο προβάλλετο ότι το επίμαχο </w:t>
      </w:r>
      <w:r w:rsidR="00FD62F6">
        <w:rPr>
          <w:rFonts w:ascii="Bookman Old Style" w:hAnsi="Bookman Old Style" w:cs="Arial"/>
          <w:sz w:val="28"/>
          <w:szCs w:val="28"/>
          <w:lang w:val="el-GR"/>
        </w:rPr>
        <w:t>Έν</w:t>
      </w:r>
      <w:r>
        <w:rPr>
          <w:rFonts w:ascii="Bookman Old Style" w:hAnsi="Bookman Old Style" w:cs="Arial"/>
          <w:sz w:val="28"/>
          <w:szCs w:val="28"/>
          <w:lang w:val="el-GR"/>
        </w:rPr>
        <w:t xml:space="preserve">ταλμα συνιστούσε κατάχρηση της δικαστικής διαδικασίας, διότι δεν μπορούσε πρακτικά να εκτελεστεί επί τη βάσει του ότι τα φυσικά και νομικά χαρακτηριστικά του επίδικου ακινήτου που αναφέρονταν στο επίδικο </w:t>
      </w:r>
      <w:r w:rsidR="00FD62F6">
        <w:rPr>
          <w:rFonts w:ascii="Bookman Old Style" w:hAnsi="Bookman Old Style" w:cs="Arial"/>
          <w:sz w:val="28"/>
          <w:szCs w:val="28"/>
          <w:lang w:val="el-GR"/>
        </w:rPr>
        <w:t>Δ</w:t>
      </w:r>
      <w:r>
        <w:rPr>
          <w:rFonts w:ascii="Bookman Old Style" w:hAnsi="Bookman Old Style" w:cs="Arial"/>
          <w:sz w:val="28"/>
          <w:szCs w:val="28"/>
          <w:lang w:val="el-GR"/>
        </w:rPr>
        <w:t xml:space="preserve">ιάταγμα και </w:t>
      </w:r>
      <w:r w:rsidR="00FD62F6">
        <w:rPr>
          <w:rFonts w:ascii="Bookman Old Style" w:hAnsi="Bookman Old Style" w:cs="Arial"/>
          <w:sz w:val="28"/>
          <w:szCs w:val="28"/>
          <w:lang w:val="el-GR"/>
        </w:rPr>
        <w:t>Έντ</w:t>
      </w:r>
      <w:r>
        <w:rPr>
          <w:rFonts w:ascii="Bookman Old Style" w:hAnsi="Bookman Old Style" w:cs="Arial"/>
          <w:sz w:val="28"/>
          <w:szCs w:val="28"/>
          <w:lang w:val="el-GR"/>
        </w:rPr>
        <w:t>αλμα ήταν λανθασμένα, «</w:t>
      </w:r>
      <w:r w:rsidRPr="00E012FB">
        <w:rPr>
          <w:rFonts w:ascii="Bookman Old Style" w:hAnsi="Bookman Old Style" w:cs="Arial"/>
          <w:i/>
          <w:iCs/>
          <w:sz w:val="28"/>
          <w:szCs w:val="28"/>
          <w:lang w:val="el-GR"/>
        </w:rPr>
        <w:t>ανέφερε ότι τόσο το επί</w:t>
      </w:r>
      <w:r>
        <w:rPr>
          <w:rFonts w:ascii="Bookman Old Style" w:hAnsi="Bookman Old Style" w:cs="Arial"/>
          <w:i/>
          <w:iCs/>
          <w:sz w:val="28"/>
          <w:szCs w:val="28"/>
          <w:lang w:val="el-GR"/>
        </w:rPr>
        <w:t>μαχο διάταγμα όσο και το επίμαχο ένταλμα, αφορούν στο επίμαχο υποστατικό</w:t>
      </w:r>
      <w:r>
        <w:rPr>
          <w:rFonts w:ascii="Bookman Old Style" w:hAnsi="Bookman Old Style" w:cs="Arial"/>
          <w:sz w:val="28"/>
          <w:szCs w:val="28"/>
          <w:lang w:val="el-GR"/>
        </w:rPr>
        <w:t xml:space="preserve">». </w:t>
      </w:r>
    </w:p>
    <w:p w14:paraId="05B2010C" w14:textId="77777777" w:rsidR="00FD62F6" w:rsidRDefault="00FD62F6" w:rsidP="00D7355B">
      <w:pPr>
        <w:spacing w:line="480" w:lineRule="auto"/>
        <w:jc w:val="both"/>
        <w:rPr>
          <w:rFonts w:ascii="Bookman Old Style" w:hAnsi="Bookman Old Style" w:cs="Arial"/>
          <w:sz w:val="28"/>
          <w:szCs w:val="28"/>
          <w:lang w:val="el-GR"/>
        </w:rPr>
      </w:pPr>
    </w:p>
    <w:p w14:paraId="4C5CC9A6" w14:textId="4DF0A3CD" w:rsidR="005E52F1" w:rsidRDefault="00FD62F6" w:rsidP="00761644">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Αφού το Κατώτερο Δικαστήριο</w:t>
      </w:r>
      <w:r w:rsidR="005F2CAA">
        <w:rPr>
          <w:rFonts w:ascii="Bookman Old Style" w:hAnsi="Bookman Old Style" w:cs="Arial"/>
          <w:sz w:val="28"/>
          <w:szCs w:val="28"/>
          <w:lang w:val="el-GR"/>
        </w:rPr>
        <w:t>,</w:t>
      </w:r>
      <w:r>
        <w:rPr>
          <w:rFonts w:ascii="Bookman Old Style" w:hAnsi="Bookman Old Style" w:cs="Arial"/>
          <w:sz w:val="28"/>
          <w:szCs w:val="28"/>
          <w:lang w:val="el-GR"/>
        </w:rPr>
        <w:t xml:space="preserve"> </w:t>
      </w:r>
      <w:r w:rsidR="005F2CAA">
        <w:rPr>
          <w:rFonts w:ascii="Bookman Old Style" w:hAnsi="Bookman Old Style" w:cs="Arial"/>
          <w:sz w:val="28"/>
          <w:szCs w:val="28"/>
          <w:lang w:val="el-GR"/>
        </w:rPr>
        <w:t xml:space="preserve">με παραπομπή στο Σύγγραμμα </w:t>
      </w:r>
      <w:r w:rsidR="005F2CAA" w:rsidRPr="005F2CAA">
        <w:rPr>
          <w:rFonts w:ascii="Bookman Old Style" w:hAnsi="Bookman Old Style" w:cs="Arial"/>
          <w:i/>
          <w:iCs/>
          <w:sz w:val="28"/>
          <w:szCs w:val="28"/>
          <w:lang w:val="en-US"/>
        </w:rPr>
        <w:t>Woodfall</w:t>
      </w:r>
      <w:r w:rsidR="005F2CAA" w:rsidRPr="005F2CAA">
        <w:rPr>
          <w:rFonts w:ascii="Bookman Old Style" w:hAnsi="Bookman Old Style" w:cs="Arial"/>
          <w:i/>
          <w:iCs/>
          <w:sz w:val="28"/>
          <w:szCs w:val="28"/>
          <w:lang w:val="el-GR"/>
        </w:rPr>
        <w:t>΄</w:t>
      </w:r>
      <w:r w:rsidR="005F2CAA" w:rsidRPr="005F2CAA">
        <w:rPr>
          <w:rFonts w:ascii="Bookman Old Style" w:hAnsi="Bookman Old Style" w:cs="Arial"/>
          <w:i/>
          <w:iCs/>
          <w:sz w:val="28"/>
          <w:szCs w:val="28"/>
          <w:lang w:val="en-US"/>
        </w:rPr>
        <w:t>s</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Law</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on</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Landlord</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and</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Tenant</w:t>
      </w:r>
      <w:r w:rsidR="005F2CAA" w:rsidRPr="005F2CAA">
        <w:rPr>
          <w:rFonts w:ascii="Bookman Old Style" w:hAnsi="Bookman Old Style" w:cs="Arial"/>
          <w:sz w:val="28"/>
          <w:szCs w:val="28"/>
          <w:lang w:val="el-GR"/>
        </w:rPr>
        <w:t xml:space="preserve">, </w:t>
      </w:r>
      <w:r w:rsidR="005F2CAA">
        <w:rPr>
          <w:rFonts w:ascii="Bookman Old Style" w:hAnsi="Bookman Old Style" w:cs="Arial"/>
          <w:sz w:val="28"/>
          <w:szCs w:val="28"/>
          <w:lang w:val="el-GR"/>
        </w:rPr>
        <w:t>Τόμος 1, παρ.</w:t>
      </w:r>
      <w:r w:rsidR="004409FA">
        <w:rPr>
          <w:rFonts w:ascii="Bookman Old Style" w:hAnsi="Bookman Old Style" w:cs="Arial"/>
          <w:sz w:val="28"/>
          <w:szCs w:val="28"/>
          <w:lang w:val="el-GR"/>
        </w:rPr>
        <w:t xml:space="preserve"> </w:t>
      </w:r>
      <w:r w:rsidR="005F2CAA">
        <w:rPr>
          <w:rFonts w:ascii="Bookman Old Style" w:hAnsi="Bookman Old Style" w:cs="Arial"/>
          <w:sz w:val="28"/>
          <w:szCs w:val="28"/>
          <w:lang w:val="el-GR"/>
        </w:rPr>
        <w:t xml:space="preserve">19.090, </w:t>
      </w:r>
      <w:r w:rsidR="005F2CAA" w:rsidRPr="005F2CAA">
        <w:rPr>
          <w:rFonts w:ascii="Bookman Old Style" w:hAnsi="Bookman Old Style" w:cs="Arial"/>
          <w:i/>
          <w:iCs/>
          <w:sz w:val="28"/>
          <w:szCs w:val="28"/>
          <w:lang w:val="en-US"/>
        </w:rPr>
        <w:t>Setting</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aside</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warrants</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and</w:t>
      </w:r>
      <w:r w:rsidR="005F2CAA" w:rsidRPr="005F2CAA">
        <w:rPr>
          <w:rFonts w:ascii="Bookman Old Style" w:hAnsi="Bookman Old Style" w:cs="Arial"/>
          <w:i/>
          <w:iCs/>
          <w:sz w:val="28"/>
          <w:szCs w:val="28"/>
          <w:lang w:val="el-GR"/>
        </w:rPr>
        <w:t xml:space="preserve"> </w:t>
      </w:r>
      <w:r w:rsidR="005F2CAA" w:rsidRPr="005F2CAA">
        <w:rPr>
          <w:rFonts w:ascii="Bookman Old Style" w:hAnsi="Bookman Old Style" w:cs="Arial"/>
          <w:i/>
          <w:iCs/>
          <w:sz w:val="28"/>
          <w:szCs w:val="28"/>
          <w:lang w:val="en-US"/>
        </w:rPr>
        <w:t>writs</w:t>
      </w:r>
      <w:r w:rsidR="005F2CAA">
        <w:rPr>
          <w:rFonts w:ascii="Bookman Old Style" w:hAnsi="Bookman Old Style" w:cs="Arial"/>
          <w:sz w:val="28"/>
          <w:szCs w:val="28"/>
          <w:lang w:val="el-GR"/>
        </w:rPr>
        <w:t>,</w:t>
      </w:r>
      <w:r>
        <w:rPr>
          <w:rFonts w:ascii="Bookman Old Style" w:hAnsi="Bookman Old Style" w:cs="Arial"/>
          <w:sz w:val="28"/>
          <w:szCs w:val="28"/>
          <w:lang w:val="el-GR"/>
        </w:rPr>
        <w:t xml:space="preserve"> </w:t>
      </w:r>
      <w:r w:rsidR="005F2CAA">
        <w:rPr>
          <w:rFonts w:ascii="Bookman Old Style" w:hAnsi="Bookman Old Style" w:cs="Arial"/>
          <w:sz w:val="28"/>
          <w:szCs w:val="28"/>
          <w:lang w:val="el-GR"/>
        </w:rPr>
        <w:t xml:space="preserve">επεσήμανε </w:t>
      </w:r>
      <w:r>
        <w:rPr>
          <w:rFonts w:ascii="Bookman Old Style" w:hAnsi="Bookman Old Style" w:cs="Arial"/>
          <w:sz w:val="28"/>
          <w:szCs w:val="28"/>
          <w:lang w:val="el-GR"/>
        </w:rPr>
        <w:t>ότι η δυνατότητα για τον παραμερισμό εντάλματος ανάκτησης κατοχής είναι περιορισμένη και αφορά στις περιπτώσεις όπου, πρώτο, ακυρώνεται το διάταγμα επί του οποίου βασίστηκε η έκδοση του εντάλματος, δεύτερο, όπου το ένταλμα έχει εξασφαλιστεί με απάτη και, τρίτο, όπου υφίσταται κατάχρηση διαδικασίας ή καταπίεση κατά την εκτέλεση, η</w:t>
      </w:r>
      <w:r w:rsidR="005E52F1">
        <w:rPr>
          <w:rFonts w:ascii="Bookman Old Style" w:hAnsi="Bookman Old Style" w:cs="Arial"/>
          <w:sz w:val="28"/>
          <w:szCs w:val="28"/>
          <w:lang w:val="el-GR"/>
        </w:rPr>
        <w:t xml:space="preserve"> κατάληξη του ήταν ότι</w:t>
      </w:r>
      <w:r>
        <w:rPr>
          <w:rFonts w:ascii="Bookman Old Style" w:hAnsi="Bookman Old Style" w:cs="Arial"/>
          <w:sz w:val="28"/>
          <w:szCs w:val="28"/>
          <w:lang w:val="el-GR"/>
        </w:rPr>
        <w:t>,</w:t>
      </w:r>
      <w:r w:rsidR="005E52F1">
        <w:rPr>
          <w:rFonts w:ascii="Bookman Old Style" w:hAnsi="Bookman Old Style" w:cs="Arial"/>
          <w:sz w:val="28"/>
          <w:szCs w:val="28"/>
          <w:lang w:val="el-GR"/>
        </w:rPr>
        <w:t xml:space="preserve"> στην προκείμενη περίπτωση</w:t>
      </w:r>
      <w:r>
        <w:rPr>
          <w:rFonts w:ascii="Bookman Old Style" w:hAnsi="Bookman Old Style" w:cs="Arial"/>
          <w:sz w:val="28"/>
          <w:szCs w:val="28"/>
          <w:lang w:val="el-GR"/>
        </w:rPr>
        <w:t>,</w:t>
      </w:r>
      <w:r w:rsidR="005E52F1">
        <w:rPr>
          <w:rFonts w:ascii="Bookman Old Style" w:hAnsi="Bookman Old Style" w:cs="Arial"/>
          <w:sz w:val="28"/>
          <w:szCs w:val="28"/>
          <w:lang w:val="el-GR"/>
        </w:rPr>
        <w:t xml:space="preserve"> δεν υφίστατο οιοσδήποτε νόμιμος και αποδεχτός λόγος ακύρωσης ή παραμερισμού του επίμαχου </w:t>
      </w:r>
      <w:r>
        <w:rPr>
          <w:rFonts w:ascii="Bookman Old Style" w:hAnsi="Bookman Old Style" w:cs="Arial"/>
          <w:sz w:val="28"/>
          <w:szCs w:val="28"/>
          <w:lang w:val="el-GR"/>
        </w:rPr>
        <w:t>Δ</w:t>
      </w:r>
      <w:r w:rsidR="005E52F1">
        <w:rPr>
          <w:rFonts w:ascii="Bookman Old Style" w:hAnsi="Bookman Old Style" w:cs="Arial"/>
          <w:sz w:val="28"/>
          <w:szCs w:val="28"/>
          <w:lang w:val="el-GR"/>
        </w:rPr>
        <w:t>ιατάγματος.</w:t>
      </w:r>
    </w:p>
    <w:p w14:paraId="57140436" w14:textId="77777777" w:rsidR="007E4121" w:rsidRDefault="007E4121" w:rsidP="00761644">
      <w:pPr>
        <w:spacing w:line="480" w:lineRule="auto"/>
        <w:jc w:val="both"/>
        <w:rPr>
          <w:rFonts w:ascii="Bookman Old Style" w:hAnsi="Bookman Old Style" w:cs="Arial"/>
          <w:sz w:val="28"/>
          <w:szCs w:val="28"/>
          <w:lang w:val="el-GR"/>
        </w:rPr>
      </w:pPr>
    </w:p>
    <w:p w14:paraId="044D0438" w14:textId="680294B1" w:rsidR="00761644" w:rsidRPr="00761644" w:rsidRDefault="00761644" w:rsidP="00761644">
      <w:pPr>
        <w:overflowPunct w:val="0"/>
        <w:spacing w:line="480" w:lineRule="auto"/>
        <w:ind w:right="62"/>
        <w:jc w:val="both"/>
        <w:rPr>
          <w:rFonts w:ascii="Bookman Old Style" w:hAnsi="Bookman Old Style" w:cs="Arial"/>
          <w:sz w:val="28"/>
          <w:szCs w:val="28"/>
          <w:lang w:val="el-GR"/>
        </w:rPr>
      </w:pPr>
      <w:r w:rsidRPr="00761644">
        <w:rPr>
          <w:rFonts w:ascii="Bookman Old Style" w:hAnsi="Bookman Old Style" w:cs="Arial"/>
          <w:sz w:val="28"/>
          <w:szCs w:val="28"/>
          <w:lang w:val="el-GR"/>
        </w:rPr>
        <w:t>Έχω διεξέλθει με προσοχή την προσβαλλόμενη Απόφαση του Κατώτερου Δικαστηρίου καθώς και ό,τι ο</w:t>
      </w:r>
      <w:r>
        <w:rPr>
          <w:rFonts w:ascii="Bookman Old Style" w:hAnsi="Bookman Old Style" w:cs="Arial"/>
          <w:sz w:val="28"/>
          <w:szCs w:val="28"/>
          <w:lang w:val="el-GR"/>
        </w:rPr>
        <w:t>ι</w:t>
      </w:r>
      <w:r w:rsidRPr="00761644">
        <w:rPr>
          <w:rFonts w:ascii="Bookman Old Style" w:hAnsi="Bookman Old Style" w:cs="Arial"/>
          <w:sz w:val="28"/>
          <w:szCs w:val="28"/>
          <w:lang w:val="el-GR"/>
        </w:rPr>
        <w:t xml:space="preserve"> Αιτητ</w:t>
      </w:r>
      <w:r w:rsidR="004409FA">
        <w:rPr>
          <w:rFonts w:ascii="Bookman Old Style" w:hAnsi="Bookman Old Style" w:cs="Arial"/>
          <w:sz w:val="28"/>
          <w:szCs w:val="28"/>
          <w:lang w:val="el-GR"/>
        </w:rPr>
        <w:t>έ</w:t>
      </w:r>
      <w:r w:rsidRPr="00761644">
        <w:rPr>
          <w:rFonts w:ascii="Bookman Old Style" w:hAnsi="Bookman Old Style" w:cs="Arial"/>
          <w:sz w:val="28"/>
          <w:szCs w:val="28"/>
          <w:lang w:val="el-GR"/>
        </w:rPr>
        <w:t>ς, μέσω τ</w:t>
      </w:r>
      <w:r>
        <w:rPr>
          <w:rFonts w:ascii="Bookman Old Style" w:hAnsi="Bookman Old Style" w:cs="Arial"/>
          <w:sz w:val="28"/>
          <w:szCs w:val="28"/>
          <w:lang w:val="el-GR"/>
        </w:rPr>
        <w:t>ης</w:t>
      </w:r>
      <w:r w:rsidRPr="00761644">
        <w:rPr>
          <w:rFonts w:ascii="Bookman Old Style" w:hAnsi="Bookman Old Style" w:cs="Arial"/>
          <w:sz w:val="28"/>
          <w:szCs w:val="28"/>
          <w:lang w:val="el-GR"/>
        </w:rPr>
        <w:t xml:space="preserve"> ευπαίδευτου συνηγόρου τ</w:t>
      </w:r>
      <w:r>
        <w:rPr>
          <w:rFonts w:ascii="Bookman Old Style" w:hAnsi="Bookman Old Style" w:cs="Arial"/>
          <w:sz w:val="28"/>
          <w:szCs w:val="28"/>
          <w:lang w:val="el-GR"/>
        </w:rPr>
        <w:t>ους</w:t>
      </w:r>
      <w:r w:rsidRPr="00761644">
        <w:rPr>
          <w:rFonts w:ascii="Bookman Old Style" w:hAnsi="Bookman Old Style" w:cs="Arial"/>
          <w:sz w:val="28"/>
          <w:szCs w:val="28"/>
          <w:lang w:val="el-GR"/>
        </w:rPr>
        <w:t>, έχ</w:t>
      </w:r>
      <w:r>
        <w:rPr>
          <w:rFonts w:ascii="Bookman Old Style" w:hAnsi="Bookman Old Style" w:cs="Arial"/>
          <w:sz w:val="28"/>
          <w:szCs w:val="28"/>
          <w:lang w:val="el-GR"/>
        </w:rPr>
        <w:t>ουν</w:t>
      </w:r>
      <w:r w:rsidRPr="00761644">
        <w:rPr>
          <w:rFonts w:ascii="Bookman Old Style" w:hAnsi="Bookman Old Style" w:cs="Arial"/>
          <w:sz w:val="28"/>
          <w:szCs w:val="28"/>
          <w:lang w:val="el-GR"/>
        </w:rPr>
        <w:t xml:space="preserve"> θέσει ενώπιον μου.</w:t>
      </w:r>
    </w:p>
    <w:p w14:paraId="19A79A35" w14:textId="77777777" w:rsidR="00761644" w:rsidRPr="00761644" w:rsidRDefault="00761644" w:rsidP="00761644">
      <w:pPr>
        <w:overflowPunct w:val="0"/>
        <w:spacing w:line="480" w:lineRule="auto"/>
        <w:ind w:right="62"/>
        <w:jc w:val="both"/>
        <w:rPr>
          <w:rFonts w:ascii="Bookman Old Style" w:hAnsi="Bookman Old Style" w:cs="Arial"/>
          <w:sz w:val="28"/>
          <w:szCs w:val="28"/>
          <w:lang w:val="el-GR"/>
        </w:rPr>
      </w:pPr>
      <w:r w:rsidRPr="00761644">
        <w:rPr>
          <w:rFonts w:ascii="Bookman Old Style" w:hAnsi="Bookman Old Style" w:cs="Arial"/>
          <w:sz w:val="28"/>
          <w:szCs w:val="28"/>
          <w:lang w:val="el-GR"/>
        </w:rPr>
        <w:t> </w:t>
      </w:r>
    </w:p>
    <w:p w14:paraId="005E6162" w14:textId="74987AE0" w:rsidR="00FB0ED2" w:rsidRPr="00FB0ED2" w:rsidRDefault="009302E6" w:rsidP="00761644">
      <w:pPr>
        <w:overflowPunct w:val="0"/>
        <w:spacing w:line="480" w:lineRule="auto"/>
        <w:ind w:right="107"/>
        <w:jc w:val="both"/>
        <w:rPr>
          <w:rFonts w:ascii="Bookman Old Style" w:hAnsi="Bookman Old Style"/>
          <w:sz w:val="28"/>
          <w:szCs w:val="28"/>
          <w:lang w:val="el-GR"/>
        </w:rPr>
      </w:pPr>
      <w:r w:rsidRPr="001E24B2">
        <w:rPr>
          <w:rFonts w:ascii="Bookman Old Style" w:hAnsi="Bookman Old Style"/>
          <w:sz w:val="28"/>
          <w:szCs w:val="28"/>
          <w:lang w:val="el-GR"/>
        </w:rPr>
        <w:t xml:space="preserve">Όπως είναι νομολογημένο, Ένταλμα της φύσης </w:t>
      </w:r>
      <w:r w:rsidRPr="001E24B2">
        <w:rPr>
          <w:rFonts w:ascii="Bookman Old Style" w:hAnsi="Bookman Old Style"/>
          <w:i/>
          <w:iCs/>
          <w:sz w:val="28"/>
          <w:szCs w:val="28"/>
        </w:rPr>
        <w:t>Certiorari</w:t>
      </w:r>
      <w:r w:rsidRPr="001E24B2">
        <w:rPr>
          <w:rFonts w:ascii="Bookman Old Style" w:hAnsi="Bookman Old Style"/>
          <w:sz w:val="28"/>
          <w:szCs w:val="28"/>
          <w:lang w:val="el-GR"/>
        </w:rPr>
        <w:t xml:space="preserve"> μπορεί να εκδοθεί όταν έχει εμφιλοχωρήσει νομικό ελάττωμα εμφανές από τη δικογραφία, η ευχέρεια</w:t>
      </w:r>
      <w:r w:rsidR="00FD62F6">
        <w:rPr>
          <w:rFonts w:ascii="Bookman Old Style" w:hAnsi="Bookman Old Style"/>
          <w:sz w:val="28"/>
          <w:szCs w:val="28"/>
          <w:lang w:val="el-GR"/>
        </w:rPr>
        <w:t>,</w:t>
      </w:r>
      <w:r w:rsidRPr="001E24B2">
        <w:rPr>
          <w:rFonts w:ascii="Bookman Old Style" w:hAnsi="Bookman Old Style"/>
          <w:sz w:val="28"/>
          <w:szCs w:val="28"/>
          <w:lang w:val="el-GR"/>
        </w:rPr>
        <w:t xml:space="preserve"> </w:t>
      </w:r>
      <w:r w:rsidR="00FD62F6">
        <w:rPr>
          <w:rFonts w:ascii="Bookman Old Style" w:hAnsi="Bookman Old Style"/>
          <w:sz w:val="28"/>
          <w:szCs w:val="28"/>
          <w:lang w:val="el-GR"/>
        </w:rPr>
        <w:t>όμως,</w:t>
      </w:r>
      <w:r w:rsidRPr="001E24B2">
        <w:rPr>
          <w:rFonts w:ascii="Bookman Old Style" w:hAnsi="Bookman Old Style"/>
          <w:sz w:val="28"/>
          <w:szCs w:val="28"/>
          <w:lang w:val="el-GR"/>
        </w:rPr>
        <w:t xml:space="preserve"> αυτή δεν καλύπτει και τις νομικά εσφαλμένες αποφάσεις. Καλύπτει τις περιπτώσεις στις οποίες υπάρχει φανερά εσφαλμένη ερμηνεία νόμου ή εσφαλμένη εφαρμογή του σε δεδομένη περίπτωση. Δεν είναι αρκετό να υπάρχει σοβαρή </w:t>
      </w:r>
      <w:r w:rsidRPr="002E3336">
        <w:rPr>
          <w:rFonts w:ascii="Bookman Old Style" w:hAnsi="Bookman Old Style"/>
          <w:sz w:val="28"/>
          <w:szCs w:val="28"/>
          <w:lang w:val="el-GR"/>
        </w:rPr>
        <w:t>πλάνη ή ακόμα και πλάνη σε σχέση με καθιερωμένη νομική αρχή (</w:t>
      </w:r>
      <w:r w:rsidRPr="002E3336">
        <w:rPr>
          <w:rFonts w:ascii="Bookman Old Style" w:hAnsi="Bookman Old Style"/>
          <w:b/>
          <w:bCs/>
          <w:i/>
          <w:iCs/>
          <w:sz w:val="28"/>
          <w:szCs w:val="28"/>
          <w:lang w:val="el-GR"/>
        </w:rPr>
        <w:t>Watford Petroleum Ukraine Holdings Ltd (2003) 1 Α.Α.Δ. 620</w:t>
      </w:r>
      <w:r w:rsidRPr="002E3336">
        <w:rPr>
          <w:rFonts w:ascii="Bookman Old Style" w:hAnsi="Bookman Old Style"/>
          <w:sz w:val="28"/>
          <w:szCs w:val="28"/>
          <w:lang w:val="el-GR"/>
        </w:rPr>
        <w:t>). Πρέπει να υπάρχει πλάνη που μπορεί να διακριβωθεί από το Δικαστήριο αμέσως</w:t>
      </w:r>
      <w:r w:rsidRPr="001E24B2">
        <w:rPr>
          <w:rFonts w:ascii="Bookman Old Style" w:hAnsi="Bookman Old Style"/>
          <w:sz w:val="28"/>
          <w:szCs w:val="28"/>
          <w:lang w:val="el-GR"/>
        </w:rPr>
        <w:t xml:space="preserve"> και όχι ύστερα από έρευνα των στοιχείων ή της μαρτυρίας (</w:t>
      </w:r>
      <w:r w:rsidRPr="001E24B2">
        <w:rPr>
          <w:rFonts w:ascii="Bookman Old Style" w:hAnsi="Bookman Old Style"/>
          <w:b/>
          <w:bCs/>
          <w:i/>
          <w:iCs/>
          <w:sz w:val="28"/>
          <w:szCs w:val="28"/>
          <w:lang w:val="el-GR"/>
        </w:rPr>
        <w:t xml:space="preserve">Αναφορικά με την Αίτηση της Εταιρείας Ξάνθος Λυσιώτης και Υιός Λτδ (1996) </w:t>
      </w:r>
      <w:r>
        <w:rPr>
          <w:rFonts w:ascii="Bookman Old Style" w:hAnsi="Bookman Old Style"/>
          <w:b/>
          <w:bCs/>
          <w:i/>
          <w:iCs/>
          <w:sz w:val="28"/>
          <w:szCs w:val="28"/>
          <w:lang w:val="el-GR"/>
        </w:rPr>
        <w:t xml:space="preserve">                </w:t>
      </w:r>
      <w:r w:rsidRPr="001E24B2">
        <w:rPr>
          <w:rFonts w:ascii="Bookman Old Style" w:hAnsi="Bookman Old Style"/>
          <w:b/>
          <w:bCs/>
          <w:i/>
          <w:iCs/>
          <w:sz w:val="28"/>
          <w:szCs w:val="28"/>
          <w:lang w:val="el-GR"/>
        </w:rPr>
        <w:t>1 Α.Α.Δ. 1066</w:t>
      </w:r>
      <w:r w:rsidRPr="001E24B2">
        <w:rPr>
          <w:rFonts w:ascii="Bookman Old Style" w:hAnsi="Bookman Old Style"/>
          <w:sz w:val="28"/>
          <w:szCs w:val="28"/>
          <w:lang w:val="el-GR"/>
        </w:rPr>
        <w:t>).</w:t>
      </w:r>
      <w:r w:rsidR="00FB0ED2">
        <w:rPr>
          <w:rFonts w:ascii="Bookman Old Style" w:hAnsi="Bookman Old Style"/>
          <w:sz w:val="28"/>
          <w:szCs w:val="28"/>
          <w:lang w:val="el-GR"/>
        </w:rPr>
        <w:t xml:space="preserve"> </w:t>
      </w:r>
      <w:r w:rsidR="00FB0ED2" w:rsidRPr="00FB0ED2">
        <w:rPr>
          <w:rFonts w:ascii="Bookman Old Style" w:hAnsi="Bookman Old Style"/>
          <w:sz w:val="28"/>
          <w:szCs w:val="28"/>
          <w:lang w:val="el-GR"/>
        </w:rPr>
        <w:t xml:space="preserve">Ό,τι εξετάζει το Δικαστήριο στην παρούσα διαδικασία είναι το σύννομο της ενέργειας του Κατώτερου Δικαστηρίου και όχι την ορθότητα της Απόφασής του (βλ. </w:t>
      </w:r>
      <w:r w:rsidR="00FB0ED2" w:rsidRPr="00FB0ED2">
        <w:rPr>
          <w:rFonts w:ascii="Bookman Old Style" w:hAnsi="Bookman Old Style"/>
          <w:b/>
          <w:bCs/>
          <w:i/>
          <w:iCs/>
          <w:sz w:val="28"/>
          <w:szCs w:val="28"/>
          <w:lang w:val="el-GR"/>
        </w:rPr>
        <w:t xml:space="preserve">Αναφορικά με την Αίτηση των </w:t>
      </w:r>
      <w:r w:rsidR="00FB0ED2" w:rsidRPr="00FB0ED2">
        <w:rPr>
          <w:rFonts w:ascii="Bookman Old Style" w:hAnsi="Bookman Old Style"/>
          <w:b/>
          <w:bCs/>
          <w:i/>
          <w:iCs/>
          <w:sz w:val="28"/>
          <w:szCs w:val="28"/>
          <w:lang w:val="en-US"/>
        </w:rPr>
        <w:t>Kazakhstan</w:t>
      </w:r>
      <w:r w:rsidR="00FB0ED2" w:rsidRPr="00FB0ED2">
        <w:rPr>
          <w:rFonts w:ascii="Bookman Old Style" w:hAnsi="Bookman Old Style"/>
          <w:b/>
          <w:bCs/>
          <w:i/>
          <w:iCs/>
          <w:sz w:val="28"/>
          <w:szCs w:val="28"/>
          <w:lang w:val="el-GR"/>
        </w:rPr>
        <w:t xml:space="preserve"> </w:t>
      </w:r>
      <w:r w:rsidR="00FB0ED2" w:rsidRPr="00FB0ED2">
        <w:rPr>
          <w:rFonts w:ascii="Bookman Old Style" w:hAnsi="Bookman Old Style"/>
          <w:b/>
          <w:bCs/>
          <w:i/>
          <w:iCs/>
          <w:sz w:val="28"/>
          <w:szCs w:val="28"/>
          <w:lang w:val="en-US"/>
        </w:rPr>
        <w:t>Kagazy</w:t>
      </w:r>
      <w:r w:rsidR="00FB0ED2" w:rsidRPr="00FB0ED2">
        <w:rPr>
          <w:rFonts w:ascii="Bookman Old Style" w:hAnsi="Bookman Old Style"/>
          <w:b/>
          <w:bCs/>
          <w:i/>
          <w:iCs/>
          <w:sz w:val="28"/>
          <w:szCs w:val="28"/>
          <w:lang w:val="el-GR"/>
        </w:rPr>
        <w:t xml:space="preserve"> </w:t>
      </w:r>
      <w:r w:rsidR="00FB0ED2" w:rsidRPr="00FB0ED2">
        <w:rPr>
          <w:rFonts w:ascii="Bookman Old Style" w:hAnsi="Bookman Old Style"/>
          <w:b/>
          <w:bCs/>
          <w:i/>
          <w:iCs/>
          <w:sz w:val="28"/>
          <w:szCs w:val="28"/>
          <w:lang w:val="en-US"/>
        </w:rPr>
        <w:t>Plc</w:t>
      </w:r>
      <w:r w:rsidR="00FB0ED2" w:rsidRPr="00FB0ED2">
        <w:rPr>
          <w:rFonts w:ascii="Bookman Old Style" w:hAnsi="Bookman Old Style"/>
          <w:b/>
          <w:bCs/>
          <w:i/>
          <w:iCs/>
          <w:sz w:val="28"/>
          <w:szCs w:val="28"/>
          <w:lang w:val="el-GR"/>
        </w:rPr>
        <w:t xml:space="preserve"> κ.ά., Πολιτική Αίτηση Αρ. 24/2018, ημερ. </w:t>
      </w:r>
      <w:r w:rsidR="00FB0ED2" w:rsidRPr="00E566F1">
        <w:rPr>
          <w:rFonts w:ascii="Bookman Old Style" w:hAnsi="Bookman Old Style"/>
          <w:b/>
          <w:bCs/>
          <w:i/>
          <w:iCs/>
          <w:sz w:val="28"/>
          <w:szCs w:val="28"/>
          <w:lang w:val="el-GR"/>
        </w:rPr>
        <w:t>4/4/2018</w:t>
      </w:r>
      <w:r w:rsidR="00FB0ED2" w:rsidRPr="00E566F1">
        <w:rPr>
          <w:rFonts w:ascii="Bookman Old Style" w:hAnsi="Bookman Old Style"/>
          <w:sz w:val="28"/>
          <w:szCs w:val="28"/>
          <w:lang w:val="el-GR"/>
        </w:rPr>
        <w:t>).</w:t>
      </w:r>
    </w:p>
    <w:p w14:paraId="3AE11518" w14:textId="77777777" w:rsidR="009302E6" w:rsidRPr="001E24B2" w:rsidRDefault="009302E6" w:rsidP="009302E6">
      <w:pPr>
        <w:overflowPunct w:val="0"/>
        <w:spacing w:line="480" w:lineRule="auto"/>
        <w:ind w:right="390"/>
        <w:jc w:val="both"/>
        <w:rPr>
          <w:rFonts w:ascii="Bookman Old Style" w:hAnsi="Bookman Old Style"/>
          <w:sz w:val="28"/>
          <w:szCs w:val="28"/>
          <w:lang w:val="el-GR"/>
        </w:rPr>
      </w:pPr>
    </w:p>
    <w:p w14:paraId="67F31235" w14:textId="71F42170" w:rsidR="009302E6" w:rsidRDefault="009302E6" w:rsidP="009302E6">
      <w:pPr>
        <w:overflowPunct w:val="0"/>
        <w:spacing w:line="480" w:lineRule="auto"/>
        <w:ind w:right="62"/>
        <w:jc w:val="both"/>
        <w:rPr>
          <w:rFonts w:ascii="Bookman Old Style" w:hAnsi="Bookman Old Style" w:cs="Arial"/>
          <w:sz w:val="28"/>
          <w:szCs w:val="28"/>
          <w:lang w:val="el-GR"/>
        </w:rPr>
      </w:pPr>
      <w:r w:rsidRPr="00821E50">
        <w:rPr>
          <w:rFonts w:ascii="Bookman Old Style" w:hAnsi="Bookman Old Style"/>
          <w:sz w:val="28"/>
          <w:szCs w:val="28"/>
          <w:lang w:val="el-GR"/>
        </w:rPr>
        <w:t xml:space="preserve">Είναι πρόδηλο ότι μέσω της προβολής της </w:t>
      </w:r>
      <w:r w:rsidR="00131F61" w:rsidRPr="00F1701A">
        <w:rPr>
          <w:rFonts w:ascii="Bookman Old Style" w:hAnsi="Bookman Old Style"/>
          <w:b/>
          <w:bCs/>
          <w:sz w:val="28"/>
          <w:szCs w:val="28"/>
          <w:lang w:val="el-GR"/>
        </w:rPr>
        <w:t>έκδηλης νομικής πλάνης</w:t>
      </w:r>
      <w:r w:rsidR="00131F61">
        <w:rPr>
          <w:rFonts w:ascii="Bookman Old Style" w:hAnsi="Bookman Old Style"/>
          <w:sz w:val="28"/>
          <w:szCs w:val="28"/>
          <w:lang w:val="el-GR"/>
        </w:rPr>
        <w:t xml:space="preserve"> και  του </w:t>
      </w:r>
      <w:r w:rsidR="00131F61" w:rsidRPr="00F1701A">
        <w:rPr>
          <w:rFonts w:ascii="Bookman Old Style" w:hAnsi="Bookman Old Style"/>
          <w:b/>
          <w:bCs/>
          <w:sz w:val="28"/>
          <w:szCs w:val="28"/>
          <w:lang w:val="el-GR"/>
        </w:rPr>
        <w:t>προφανούς νομικού σφάλματος</w:t>
      </w:r>
      <w:r w:rsidR="00131F61">
        <w:rPr>
          <w:rFonts w:ascii="Bookman Old Style" w:hAnsi="Bookman Old Style"/>
          <w:sz w:val="28"/>
          <w:szCs w:val="28"/>
          <w:lang w:val="el-GR"/>
        </w:rPr>
        <w:t>,</w:t>
      </w:r>
      <w:r w:rsidRPr="00821E50">
        <w:rPr>
          <w:rFonts w:ascii="Bookman Old Style" w:hAnsi="Bookman Old Style"/>
          <w:sz w:val="28"/>
          <w:szCs w:val="28"/>
          <w:lang w:val="el-GR"/>
        </w:rPr>
        <w:t xml:space="preserve"> ό,τι</w:t>
      </w:r>
      <w:r w:rsidR="00131F61">
        <w:rPr>
          <w:rFonts w:ascii="Bookman Old Style" w:hAnsi="Bookman Old Style"/>
          <w:sz w:val="28"/>
          <w:szCs w:val="28"/>
          <w:lang w:val="el-GR"/>
        </w:rPr>
        <w:t>,</w:t>
      </w:r>
      <w:r w:rsidRPr="00821E50">
        <w:rPr>
          <w:rFonts w:ascii="Bookman Old Style" w:hAnsi="Bookman Old Style"/>
          <w:sz w:val="28"/>
          <w:szCs w:val="28"/>
          <w:lang w:val="el-GR"/>
        </w:rPr>
        <w:t xml:space="preserve"> εν προκειμένω</w:t>
      </w:r>
      <w:r w:rsidR="00131F61">
        <w:rPr>
          <w:rFonts w:ascii="Bookman Old Style" w:hAnsi="Bookman Old Style"/>
          <w:sz w:val="28"/>
          <w:szCs w:val="28"/>
          <w:lang w:val="el-GR"/>
        </w:rPr>
        <w:t>,</w:t>
      </w:r>
      <w:r w:rsidRPr="00821E50">
        <w:rPr>
          <w:rFonts w:ascii="Bookman Old Style" w:hAnsi="Bookman Old Style"/>
          <w:sz w:val="28"/>
          <w:szCs w:val="28"/>
          <w:lang w:val="el-GR"/>
        </w:rPr>
        <w:t xml:space="preserve"> επιδιώκεται είναι ο έλεγχος της ορθότητας της Απόφασης του Κατώτερου Δικαστηρίου. Τα όσα ο</w:t>
      </w:r>
      <w:r>
        <w:rPr>
          <w:rFonts w:ascii="Bookman Old Style" w:hAnsi="Bookman Old Style"/>
          <w:sz w:val="28"/>
          <w:szCs w:val="28"/>
          <w:lang w:val="el-GR"/>
        </w:rPr>
        <w:t>ι</w:t>
      </w:r>
      <w:r w:rsidRPr="00821E50">
        <w:rPr>
          <w:rFonts w:ascii="Bookman Old Style" w:hAnsi="Bookman Old Style"/>
          <w:sz w:val="28"/>
          <w:szCs w:val="28"/>
          <w:lang w:val="el-GR"/>
        </w:rPr>
        <w:t xml:space="preserve"> Αιτητ</w:t>
      </w:r>
      <w:r>
        <w:rPr>
          <w:rFonts w:ascii="Bookman Old Style" w:hAnsi="Bookman Old Style"/>
          <w:sz w:val="28"/>
          <w:szCs w:val="28"/>
          <w:lang w:val="el-GR"/>
        </w:rPr>
        <w:t>έ</w:t>
      </w:r>
      <w:r w:rsidRPr="00821E50">
        <w:rPr>
          <w:rFonts w:ascii="Bookman Old Style" w:hAnsi="Bookman Old Style"/>
          <w:sz w:val="28"/>
          <w:szCs w:val="28"/>
          <w:lang w:val="el-GR"/>
        </w:rPr>
        <w:t>ς επικαλ</w:t>
      </w:r>
      <w:r>
        <w:rPr>
          <w:rFonts w:ascii="Bookman Old Style" w:hAnsi="Bookman Old Style"/>
          <w:sz w:val="28"/>
          <w:szCs w:val="28"/>
          <w:lang w:val="el-GR"/>
        </w:rPr>
        <w:t>ούν</w:t>
      </w:r>
      <w:r w:rsidRPr="00821E50">
        <w:rPr>
          <w:rFonts w:ascii="Bookman Old Style" w:hAnsi="Bookman Old Style"/>
          <w:sz w:val="28"/>
          <w:szCs w:val="28"/>
          <w:lang w:val="el-GR"/>
        </w:rPr>
        <w:t xml:space="preserve">ται, με κάθε σεβασμό, δεν στοιχειοθετούν ούτε για σκοπούς παροχής άδειας ότι το Κατώτερο Δικαστήριο ενήργησε </w:t>
      </w:r>
      <w:r w:rsidR="00B80526">
        <w:rPr>
          <w:rFonts w:ascii="Bookman Old Style" w:hAnsi="Bookman Old Style"/>
          <w:sz w:val="28"/>
          <w:szCs w:val="28"/>
          <w:lang w:val="el-GR"/>
        </w:rPr>
        <w:t>με έκδηλη πλάνη περί το Νόμο</w:t>
      </w:r>
      <w:r w:rsidRPr="00821E50">
        <w:rPr>
          <w:rFonts w:ascii="Bookman Old Style" w:hAnsi="Bookman Old Style"/>
          <w:sz w:val="28"/>
          <w:szCs w:val="28"/>
          <w:lang w:val="el-GR"/>
        </w:rPr>
        <w:t xml:space="preserve"> ή κατά άλλο τρόπο που να καθιστά την </w:t>
      </w:r>
      <w:r w:rsidR="004409FA">
        <w:rPr>
          <w:rFonts w:ascii="Bookman Old Style" w:hAnsi="Bookman Old Style"/>
          <w:sz w:val="28"/>
          <w:szCs w:val="28"/>
          <w:lang w:val="el-GR"/>
        </w:rPr>
        <w:t>α</w:t>
      </w:r>
      <w:r w:rsidRPr="00821E50">
        <w:rPr>
          <w:rFonts w:ascii="Bookman Old Style" w:hAnsi="Bookman Old Style"/>
          <w:sz w:val="28"/>
          <w:szCs w:val="28"/>
          <w:lang w:val="el-GR"/>
        </w:rPr>
        <w:t>πόφαση του ελεγχόμενη ως προς τη νομιμότητα της. Όσα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w:t>
      </w:r>
      <w:r w:rsidRPr="002E3336">
        <w:rPr>
          <w:lang w:val="el-GR"/>
        </w:rPr>
        <w:t xml:space="preserve"> </w:t>
      </w:r>
      <w:r w:rsidRPr="003B7261">
        <w:rPr>
          <w:rFonts w:ascii="Bookman Old Style" w:hAnsi="Bookman Old Style" w:cs="Arial"/>
          <w:sz w:val="28"/>
          <w:szCs w:val="28"/>
          <w:lang w:val="el-GR"/>
        </w:rPr>
        <w:t>Δεν θα συνιστούσε, όμως, ακόμη και αν το Κατώτερο Δικαστήριο είχε ασκήσει εσφαλμένα την κρίση του, απόφαση η οποία στερείτο νομιμότητας.</w:t>
      </w:r>
      <w:r w:rsidRPr="003B7261">
        <w:rPr>
          <w:rFonts w:ascii="Bookman Old Style" w:hAnsi="Bookman Old Style"/>
          <w:lang w:val="el-GR"/>
        </w:rPr>
        <w:t xml:space="preserve"> </w:t>
      </w:r>
      <w:r w:rsidRPr="003B7261">
        <w:rPr>
          <w:rFonts w:ascii="Bookman Old Style" w:hAnsi="Bookman Old Style" w:cs="Arial"/>
          <w:sz w:val="28"/>
          <w:szCs w:val="28"/>
          <w:lang w:val="el-GR"/>
        </w:rPr>
        <w:t>Εν προκειμένω, στην πραγματικότητα ό,τι επιδιώκεται, υπό το μανδύα της προνομιακής θεραπείας, είναι ο έλεγχος της ορθότητας της απόφασης και αντικατάσταση της κρίσης που είτε ορθά, είτε λανθασμένα διαμόρφωσε το Κατώτερο Δικαστήριο.</w:t>
      </w:r>
      <w:r w:rsidRPr="003B7261">
        <w:rPr>
          <w:rFonts w:ascii="Bookman Old Style" w:hAnsi="Bookman Old Style"/>
          <w:sz w:val="28"/>
          <w:szCs w:val="28"/>
          <w:lang w:val="el-GR"/>
        </w:rPr>
        <w:t xml:space="preserve"> </w:t>
      </w:r>
      <w:r w:rsidRPr="003B7261">
        <w:rPr>
          <w:rFonts w:ascii="Bookman Old Style" w:hAnsi="Bookman Old Style" w:cs="Arial"/>
          <w:sz w:val="28"/>
          <w:szCs w:val="28"/>
          <w:lang w:val="el-GR"/>
        </w:rPr>
        <w:t xml:space="preserve">Όπως αναφέρεται στη νομολογία, τυχόν λανθασμένη ερμηνεία νόμου ή λανθασμένη αντίληψη του Δικαστηρίου δεν ελέγχεται με Προνομιακό Ένταλμα </w:t>
      </w:r>
      <w:r w:rsidRPr="003B7261">
        <w:rPr>
          <w:rFonts w:ascii="Bookman Old Style" w:hAnsi="Bookman Old Style" w:cs="Arial"/>
          <w:i/>
          <w:iCs/>
          <w:sz w:val="28"/>
          <w:szCs w:val="28"/>
        </w:rPr>
        <w:t>Certiorari</w:t>
      </w:r>
      <w:r w:rsidRPr="003B7261">
        <w:rPr>
          <w:rFonts w:ascii="Bookman Old Style" w:hAnsi="Bookman Old Style" w:cs="Arial"/>
          <w:sz w:val="28"/>
          <w:szCs w:val="28"/>
          <w:lang w:val="el-GR"/>
        </w:rPr>
        <w:t xml:space="preserve">, αλλά ελέγχεται ως προς την ορθότητα της με το ένδικο μέσο της έφεσης (βλ. </w:t>
      </w:r>
      <w:r w:rsidRPr="003B7261">
        <w:rPr>
          <w:rFonts w:ascii="Bookman Old Style" w:hAnsi="Bookman Old Style" w:cs="Arial"/>
          <w:i/>
          <w:iCs/>
          <w:sz w:val="28"/>
          <w:szCs w:val="28"/>
          <w:lang w:val="el-GR"/>
        </w:rPr>
        <w:t>Πέτρου Αρτέμη: Προνομιακά Εντάλματα</w:t>
      </w:r>
      <w:r w:rsidRPr="003B7261">
        <w:rPr>
          <w:rFonts w:ascii="Bookman Old Style" w:hAnsi="Bookman Old Style" w:cs="Arial"/>
          <w:sz w:val="28"/>
          <w:szCs w:val="28"/>
          <w:lang w:val="el-GR"/>
        </w:rPr>
        <w:t xml:space="preserve">, σελ. 127-128, </w:t>
      </w:r>
      <w:r w:rsidRPr="003B7261">
        <w:rPr>
          <w:rFonts w:ascii="Bookman Old Style" w:hAnsi="Bookman Old Style" w:cs="Arial"/>
          <w:b/>
          <w:bCs/>
          <w:i/>
          <w:iCs/>
          <w:sz w:val="28"/>
          <w:szCs w:val="28"/>
          <w:lang w:val="el-GR"/>
        </w:rPr>
        <w:t xml:space="preserve">Αίτηση της Μουστερή κ.ά., Πολιτική Αίτηση Αρ. 150/2017, ημερ. 24/10/2017, Αίτηση της </w:t>
      </w:r>
      <w:r w:rsidRPr="003B7261">
        <w:rPr>
          <w:rFonts w:ascii="Bookman Old Style" w:hAnsi="Bookman Old Style" w:cs="Arial"/>
          <w:b/>
          <w:bCs/>
          <w:i/>
          <w:iCs/>
          <w:sz w:val="28"/>
          <w:szCs w:val="28"/>
        </w:rPr>
        <w:t>Content</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Union</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S</w:t>
      </w:r>
      <w:r w:rsidRPr="003B7261">
        <w:rPr>
          <w:rFonts w:ascii="Bookman Old Style" w:hAnsi="Bookman Old Style" w:cs="Arial"/>
          <w:b/>
          <w:bCs/>
          <w:i/>
          <w:iCs/>
          <w:sz w:val="28"/>
          <w:szCs w:val="28"/>
          <w:lang w:val="el-GR"/>
        </w:rPr>
        <w:t>.</w:t>
      </w:r>
      <w:r w:rsidRPr="003B7261">
        <w:rPr>
          <w:rFonts w:ascii="Bookman Old Style" w:hAnsi="Bookman Old Style" w:cs="Arial"/>
          <w:b/>
          <w:bCs/>
          <w:i/>
          <w:iCs/>
          <w:sz w:val="28"/>
          <w:szCs w:val="28"/>
        </w:rPr>
        <w:t>A</w:t>
      </w:r>
      <w:r w:rsidRPr="003B7261">
        <w:rPr>
          <w:rFonts w:ascii="Bookman Old Style" w:hAnsi="Bookman Old Style" w:cs="Arial"/>
          <w:b/>
          <w:bCs/>
          <w:i/>
          <w:iCs/>
          <w:sz w:val="28"/>
          <w:szCs w:val="28"/>
          <w:lang w:val="el-GR"/>
        </w:rPr>
        <w:t xml:space="preserve">., Πολιτική Αίτηση Αρ. 64/2018, ημερ. 11/6/2018 </w:t>
      </w:r>
      <w:r w:rsidRPr="003B7261">
        <w:rPr>
          <w:rFonts w:ascii="Bookman Old Style" w:hAnsi="Bookman Old Style" w:cs="Arial"/>
          <w:sz w:val="28"/>
          <w:szCs w:val="28"/>
          <w:lang w:val="el-GR"/>
        </w:rPr>
        <w:t xml:space="preserve">και </w:t>
      </w:r>
      <w:r w:rsidRPr="003B7261">
        <w:rPr>
          <w:rFonts w:ascii="Bookman Old Style" w:hAnsi="Bookman Old Style" w:cs="Arial"/>
          <w:b/>
          <w:bCs/>
          <w:i/>
          <w:iCs/>
          <w:sz w:val="28"/>
          <w:szCs w:val="28"/>
          <w:lang w:val="el-GR"/>
        </w:rPr>
        <w:t>Αίτηση Γενικού Εισαγγελέα, Πολιτική Αίτηση Αρ. 24/2020, ημερ. 10/3/2020</w:t>
      </w:r>
      <w:r w:rsidRPr="003B7261">
        <w:rPr>
          <w:rFonts w:ascii="Bookman Old Style" w:hAnsi="Bookman Old Style" w:cs="Arial"/>
          <w:sz w:val="28"/>
          <w:szCs w:val="28"/>
          <w:lang w:val="el-GR"/>
        </w:rPr>
        <w:t>).</w:t>
      </w:r>
      <w:r w:rsidR="00B80526" w:rsidRPr="00B80526">
        <w:rPr>
          <w:lang w:val="el-GR"/>
        </w:rPr>
        <w:t xml:space="preserve"> </w:t>
      </w:r>
      <w:r w:rsidR="00B80526" w:rsidRPr="00B80526">
        <w:rPr>
          <w:rFonts w:ascii="Bookman Old Style" w:hAnsi="Bookman Old Style"/>
          <w:sz w:val="28"/>
          <w:szCs w:val="28"/>
          <w:lang w:val="el-GR"/>
        </w:rPr>
        <w:t>Ακόμα και στην περίπτωση που το Δικαστήριο έχει λανθασμένα αντιληφθεί και ερμηνεύσει ένα νομοθέτημα, αυτό διορθώνεται κατ’ έφεση και όχι μέσω Προνομιακών Ενταλμάτων</w:t>
      </w:r>
      <w:bookmarkStart w:id="1" w:name="_ftnref2"/>
      <w:r w:rsidR="00B80526">
        <w:rPr>
          <w:rFonts w:ascii="Bookman Old Style" w:hAnsi="Bookman Old Style"/>
          <w:sz w:val="28"/>
          <w:szCs w:val="28"/>
          <w:lang w:val="el-GR"/>
        </w:rPr>
        <w:t>.</w:t>
      </w:r>
      <w:r w:rsidR="00B80526" w:rsidRPr="00B80526">
        <w:rPr>
          <w:rFonts w:ascii="Bookman Old Style" w:hAnsi="Bookman Old Style"/>
          <w:sz w:val="28"/>
          <w:szCs w:val="28"/>
          <w:lang w:val="el-GR"/>
        </w:rPr>
        <w:t xml:space="preserve"> </w:t>
      </w:r>
      <w:bookmarkEnd w:id="1"/>
      <w:r>
        <w:rPr>
          <w:rFonts w:ascii="Bookman Old Style" w:hAnsi="Bookman Old Style" w:cs="Arial"/>
          <w:sz w:val="28"/>
          <w:szCs w:val="28"/>
          <w:lang w:val="el-GR"/>
        </w:rPr>
        <w:t xml:space="preserve"> Τ</w:t>
      </w:r>
      <w:r w:rsidRPr="003B7261">
        <w:rPr>
          <w:rFonts w:ascii="Bookman Old Style" w:hAnsi="Bookman Old Style" w:cs="Arial"/>
          <w:sz w:val="28"/>
          <w:szCs w:val="28"/>
          <w:lang w:val="el-GR"/>
        </w:rPr>
        <w:t xml:space="preserve">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 </w:t>
      </w:r>
      <w:r w:rsidRPr="003B7261">
        <w:rPr>
          <w:rFonts w:ascii="Bookman Old Style" w:hAnsi="Bookman Old Style" w:cs="Arial"/>
          <w:b/>
          <w:bCs/>
          <w:i/>
          <w:iCs/>
          <w:sz w:val="28"/>
          <w:szCs w:val="28"/>
        </w:rPr>
        <w:t>Marewave</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Shipping</w:t>
      </w:r>
      <w:r w:rsidRPr="00FD62F6">
        <w:rPr>
          <w:rFonts w:ascii="Bookman Old Style" w:hAnsi="Bookman Old Style" w:cs="Arial"/>
          <w:b/>
          <w:bCs/>
          <w:i/>
          <w:iCs/>
          <w:sz w:val="28"/>
          <w:szCs w:val="28"/>
          <w:lang w:val="el-GR"/>
        </w:rPr>
        <w:t xml:space="preserve"> &amp; </w:t>
      </w:r>
      <w:r w:rsidRPr="003B7261">
        <w:rPr>
          <w:rFonts w:ascii="Bookman Old Style" w:hAnsi="Bookman Old Style" w:cs="Arial"/>
          <w:b/>
          <w:bCs/>
          <w:i/>
          <w:iCs/>
          <w:sz w:val="28"/>
          <w:szCs w:val="28"/>
        </w:rPr>
        <w:t>Trading</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Company</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Ltd</w:t>
      </w:r>
      <w:r w:rsidRPr="00FD62F6">
        <w:rPr>
          <w:rFonts w:ascii="Bookman Old Style" w:hAnsi="Bookman Old Style" w:cs="Arial"/>
          <w:b/>
          <w:bCs/>
          <w:i/>
          <w:iCs/>
          <w:sz w:val="28"/>
          <w:szCs w:val="28"/>
          <w:lang w:val="el-GR"/>
        </w:rPr>
        <w:t xml:space="preserve"> (1992) 1 </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Δ</w:t>
      </w:r>
      <w:r w:rsidRPr="00FD62F6">
        <w:rPr>
          <w:rFonts w:ascii="Bookman Old Style" w:hAnsi="Bookman Old Style" w:cs="Arial"/>
          <w:b/>
          <w:bCs/>
          <w:i/>
          <w:iCs/>
          <w:sz w:val="28"/>
          <w:szCs w:val="28"/>
          <w:lang w:val="el-GR"/>
        </w:rPr>
        <w:t xml:space="preserve">. 116, </w:t>
      </w:r>
      <w:r w:rsidRPr="003B7261">
        <w:rPr>
          <w:rFonts w:ascii="Bookman Old Style" w:hAnsi="Bookman Old Style" w:cs="Arial"/>
          <w:b/>
          <w:bCs/>
          <w:i/>
          <w:iCs/>
          <w:sz w:val="28"/>
          <w:szCs w:val="28"/>
          <w:lang w:val="el-GR"/>
        </w:rPr>
        <w:t>Γενικός</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l-GR"/>
        </w:rPr>
        <w:t>Εισαγγελέας</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l-GR"/>
        </w:rPr>
        <w:t>Αρ</w:t>
      </w:r>
      <w:r w:rsidRPr="00FD62F6">
        <w:rPr>
          <w:rFonts w:ascii="Bookman Old Style" w:hAnsi="Bookman Old Style" w:cs="Arial"/>
          <w:b/>
          <w:bCs/>
          <w:i/>
          <w:iCs/>
          <w:sz w:val="28"/>
          <w:szCs w:val="28"/>
          <w:lang w:val="el-GR"/>
        </w:rPr>
        <w:t xml:space="preserve">. 3) (1993) 1 </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Δ</w:t>
      </w:r>
      <w:r w:rsidRPr="00FD62F6">
        <w:rPr>
          <w:rFonts w:ascii="Bookman Old Style" w:hAnsi="Bookman Old Style" w:cs="Arial"/>
          <w:b/>
          <w:bCs/>
          <w:i/>
          <w:iCs/>
          <w:sz w:val="28"/>
          <w:szCs w:val="28"/>
          <w:lang w:val="el-GR"/>
        </w:rPr>
        <w:t>. 42</w:t>
      </w:r>
      <w:r w:rsidRPr="00FD62F6">
        <w:rPr>
          <w:rFonts w:ascii="Bookman Old Style" w:hAnsi="Bookman Old Style" w:cs="Arial"/>
          <w:sz w:val="28"/>
          <w:szCs w:val="28"/>
          <w:lang w:val="el-GR"/>
        </w:rPr>
        <w:t xml:space="preserve"> </w:t>
      </w:r>
      <w:r w:rsidRPr="003B7261">
        <w:rPr>
          <w:rFonts w:ascii="Bookman Old Style" w:hAnsi="Bookman Old Style" w:cs="Arial"/>
          <w:sz w:val="28"/>
          <w:szCs w:val="28"/>
          <w:lang w:val="el-GR"/>
        </w:rPr>
        <w:t>και</w:t>
      </w:r>
      <w:r w:rsidRPr="00FD62F6">
        <w:rPr>
          <w:rFonts w:ascii="Bookman Old Style" w:hAnsi="Bookman Old Style" w:cs="Arial"/>
          <w:sz w:val="28"/>
          <w:szCs w:val="28"/>
          <w:lang w:val="el-GR"/>
        </w:rPr>
        <w:t xml:space="preserve"> </w:t>
      </w:r>
      <w:r w:rsidRPr="003B7261">
        <w:rPr>
          <w:rFonts w:ascii="Bookman Old Style" w:hAnsi="Bookman Old Style" w:cs="Arial"/>
          <w:b/>
          <w:bCs/>
          <w:i/>
          <w:iCs/>
          <w:sz w:val="28"/>
          <w:szCs w:val="28"/>
        </w:rPr>
        <w:t>Daventree</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Trustees</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Ltd</w:t>
      </w:r>
      <w:r w:rsidRPr="00FD62F6">
        <w:rPr>
          <w:rFonts w:ascii="Bookman Old Style" w:hAnsi="Bookman Old Style" w:cs="Arial"/>
          <w:b/>
          <w:bCs/>
          <w:i/>
          <w:iCs/>
          <w:sz w:val="28"/>
          <w:szCs w:val="28"/>
          <w:lang w:val="el-GR"/>
        </w:rPr>
        <w:t xml:space="preserve"> (2005) 1(</w:t>
      </w:r>
      <w:r w:rsidRPr="003B7261">
        <w:rPr>
          <w:rFonts w:ascii="Bookman Old Style" w:hAnsi="Bookman Old Style" w:cs="Arial"/>
          <w:b/>
          <w:bCs/>
          <w:i/>
          <w:iCs/>
          <w:sz w:val="28"/>
          <w:szCs w:val="28"/>
        </w:rPr>
        <w:t>A</w:t>
      </w:r>
      <w:r w:rsidRPr="00FD62F6">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Α</w:t>
      </w:r>
      <w:r w:rsidRPr="00FD62F6">
        <w:rPr>
          <w:rFonts w:ascii="Bookman Old Style" w:hAnsi="Bookman Old Style" w:cs="Arial"/>
          <w:b/>
          <w:bCs/>
          <w:i/>
          <w:iCs/>
          <w:sz w:val="28"/>
          <w:szCs w:val="28"/>
          <w:lang w:val="el-GR"/>
        </w:rPr>
        <w:t>.</w:t>
      </w:r>
      <w:r w:rsidRPr="003B7261">
        <w:rPr>
          <w:rFonts w:ascii="Bookman Old Style" w:hAnsi="Bookman Old Style" w:cs="Arial"/>
          <w:b/>
          <w:bCs/>
          <w:i/>
          <w:iCs/>
          <w:sz w:val="28"/>
          <w:szCs w:val="28"/>
          <w:lang w:val="el-GR"/>
        </w:rPr>
        <w:t>Δ</w:t>
      </w:r>
      <w:r w:rsidRPr="00FD62F6">
        <w:rPr>
          <w:rFonts w:ascii="Bookman Old Style" w:hAnsi="Bookman Old Style" w:cs="Arial"/>
          <w:b/>
          <w:bCs/>
          <w:i/>
          <w:iCs/>
          <w:sz w:val="28"/>
          <w:szCs w:val="28"/>
          <w:lang w:val="el-GR"/>
        </w:rPr>
        <w:t>. 712</w:t>
      </w:r>
      <w:r w:rsidRPr="00FD62F6">
        <w:rPr>
          <w:rFonts w:ascii="Bookman Old Style" w:hAnsi="Bookman Old Style" w:cs="Arial"/>
          <w:sz w:val="28"/>
          <w:szCs w:val="28"/>
          <w:lang w:val="el-GR"/>
        </w:rPr>
        <w:t>).</w:t>
      </w:r>
    </w:p>
    <w:p w14:paraId="3971217E" w14:textId="77777777" w:rsidR="00131F61" w:rsidRDefault="00131F61" w:rsidP="009302E6">
      <w:pPr>
        <w:overflowPunct w:val="0"/>
        <w:spacing w:line="480" w:lineRule="auto"/>
        <w:ind w:right="62"/>
        <w:jc w:val="both"/>
        <w:rPr>
          <w:rFonts w:ascii="Bookman Old Style" w:hAnsi="Bookman Old Style" w:cs="Arial"/>
          <w:sz w:val="28"/>
          <w:szCs w:val="28"/>
          <w:lang w:val="el-GR"/>
        </w:rPr>
      </w:pPr>
    </w:p>
    <w:p w14:paraId="1C738F86" w14:textId="29518DB2" w:rsidR="00F1701A" w:rsidRPr="00F1701A" w:rsidRDefault="00131F61" w:rsidP="005F2CAA">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Εν ολίγοις στην προκείμενη περίπτωση οι Αιτητές, αφού έθεσαν  τις θέσεις και ισχυρισμούς τους ενώπιον του Κατώτερου Δικαστηρίου στο πλαίσιο του διαδικαστικού μηχανισμού που προσφέρεται από τη </w:t>
      </w:r>
      <w:r w:rsidRPr="00F1701A">
        <w:rPr>
          <w:rFonts w:ascii="Bookman Old Style" w:hAnsi="Bookman Old Style" w:cs="Arial"/>
          <w:b/>
          <w:bCs/>
          <w:i/>
          <w:iCs/>
          <w:sz w:val="28"/>
          <w:szCs w:val="28"/>
          <w:lang w:val="el-GR"/>
        </w:rPr>
        <w:t>Δ.48, θ. 8(4)</w:t>
      </w:r>
      <w:r>
        <w:rPr>
          <w:rFonts w:ascii="Bookman Old Style" w:hAnsi="Bookman Old Style" w:cs="Arial"/>
          <w:sz w:val="28"/>
          <w:szCs w:val="28"/>
          <w:lang w:val="el-GR"/>
        </w:rPr>
        <w:t>, που συνιστά το εναλλακτικό μέσο σε πρώτο βαθμό</w:t>
      </w:r>
      <w:r w:rsidR="003E2625">
        <w:rPr>
          <w:rFonts w:ascii="Bookman Old Style" w:hAnsi="Bookman Old Style" w:cs="Arial"/>
          <w:sz w:val="28"/>
          <w:szCs w:val="28"/>
          <w:lang w:val="el-GR"/>
        </w:rPr>
        <w:t xml:space="preserve"> και μετέπειτα κατ</w:t>
      </w:r>
      <w:r w:rsidR="003D455C">
        <w:rPr>
          <w:rFonts w:ascii="Bookman Old Style" w:hAnsi="Bookman Old Style" w:cs="Arial"/>
          <w:sz w:val="28"/>
          <w:szCs w:val="28"/>
          <w:lang w:val="el-GR"/>
        </w:rPr>
        <w:t xml:space="preserve">’ </w:t>
      </w:r>
      <w:r w:rsidR="003E2625">
        <w:rPr>
          <w:rFonts w:ascii="Bookman Old Style" w:hAnsi="Bookman Old Style" w:cs="Arial"/>
          <w:sz w:val="28"/>
          <w:szCs w:val="28"/>
          <w:lang w:val="el-GR"/>
        </w:rPr>
        <w:t>έφεση, το Κατώτερο Δικαστήριο</w:t>
      </w:r>
      <w:r w:rsidR="0079682E" w:rsidRPr="00F1701A">
        <w:rPr>
          <w:rFonts w:ascii="Bookman Old Style" w:hAnsi="Bookman Old Style" w:cs="Arial"/>
          <w:sz w:val="28"/>
          <w:szCs w:val="28"/>
          <w:lang w:val="el-GR"/>
        </w:rPr>
        <w:t>,</w:t>
      </w:r>
      <w:r w:rsidR="003E2625">
        <w:rPr>
          <w:rFonts w:ascii="Bookman Old Style" w:hAnsi="Bookman Old Style" w:cs="Arial"/>
          <w:sz w:val="28"/>
          <w:szCs w:val="28"/>
          <w:lang w:val="el-GR"/>
        </w:rPr>
        <w:t xml:space="preserve"> ενεργώντας</w:t>
      </w:r>
      <w:r w:rsidR="00647B95">
        <w:rPr>
          <w:rFonts w:ascii="Bookman Old Style" w:hAnsi="Bookman Old Style" w:cs="Arial"/>
          <w:sz w:val="28"/>
          <w:szCs w:val="28"/>
          <w:lang w:val="el-GR"/>
        </w:rPr>
        <w:t xml:space="preserve"> πάντα</w:t>
      </w:r>
      <w:r w:rsidR="003E2625">
        <w:rPr>
          <w:rFonts w:ascii="Bookman Old Style" w:hAnsi="Bookman Old Style" w:cs="Arial"/>
          <w:sz w:val="28"/>
          <w:szCs w:val="28"/>
          <w:lang w:val="el-GR"/>
        </w:rPr>
        <w:t xml:space="preserve"> στο πλαίσιο </w:t>
      </w:r>
      <w:r w:rsidR="00647B95">
        <w:rPr>
          <w:rFonts w:ascii="Bookman Old Style" w:hAnsi="Bookman Old Style" w:cs="Arial"/>
          <w:sz w:val="28"/>
          <w:szCs w:val="28"/>
          <w:lang w:val="el-GR"/>
        </w:rPr>
        <w:t xml:space="preserve"> των αρμοδιοτήτων </w:t>
      </w:r>
      <w:r w:rsidR="00647B95" w:rsidRPr="00647B95">
        <w:rPr>
          <w:rFonts w:ascii="Bookman Old Style" w:hAnsi="Bookman Old Style" w:cs="Arial"/>
          <w:sz w:val="28"/>
          <w:szCs w:val="28"/>
          <w:lang w:val="el-GR"/>
        </w:rPr>
        <w:t>του</w:t>
      </w:r>
      <w:r w:rsidR="003E2625" w:rsidRPr="00647B95">
        <w:rPr>
          <w:rFonts w:ascii="Bookman Old Style" w:hAnsi="Bookman Old Style" w:cs="Arial"/>
          <w:sz w:val="28"/>
          <w:szCs w:val="28"/>
          <w:lang w:val="el-GR"/>
        </w:rPr>
        <w:t>,</w:t>
      </w:r>
      <w:r w:rsidR="00647B95" w:rsidRPr="00647B95">
        <w:rPr>
          <w:rFonts w:ascii="Bookman Old Style" w:hAnsi="Bookman Old Style"/>
          <w:sz w:val="28"/>
          <w:szCs w:val="28"/>
          <w:lang w:val="el-GR"/>
        </w:rPr>
        <w:t xml:space="preserve"> προχώρησε, ως είχε δικαίωμα και καθήκον, στην ερμηνεία και την εφαρμογή των προνοιών της </w:t>
      </w:r>
      <w:r w:rsidR="00647B95" w:rsidRPr="00647B95">
        <w:rPr>
          <w:rFonts w:ascii="Bookman Old Style" w:hAnsi="Bookman Old Style"/>
          <w:b/>
          <w:bCs/>
          <w:i/>
          <w:iCs/>
          <w:sz w:val="28"/>
          <w:szCs w:val="28"/>
          <w:lang w:val="el-GR"/>
        </w:rPr>
        <w:t>Δ.</w:t>
      </w:r>
      <w:r w:rsidR="003D455C">
        <w:rPr>
          <w:rFonts w:ascii="Bookman Old Style" w:hAnsi="Bookman Old Style"/>
          <w:b/>
          <w:bCs/>
          <w:i/>
          <w:iCs/>
          <w:sz w:val="28"/>
          <w:szCs w:val="28"/>
          <w:lang w:val="el-GR"/>
        </w:rPr>
        <w:t xml:space="preserve"> </w:t>
      </w:r>
      <w:r w:rsidR="00647B95" w:rsidRPr="00647B95">
        <w:rPr>
          <w:rFonts w:ascii="Bookman Old Style" w:hAnsi="Bookman Old Style"/>
          <w:b/>
          <w:bCs/>
          <w:i/>
          <w:iCs/>
          <w:sz w:val="28"/>
          <w:szCs w:val="28"/>
          <w:lang w:val="el-GR"/>
        </w:rPr>
        <w:t>43</w:t>
      </w:r>
      <w:r w:rsidR="003D455C">
        <w:rPr>
          <w:rFonts w:ascii="Bookman Old Style" w:hAnsi="Bookman Old Style"/>
          <w:b/>
          <w:bCs/>
          <w:i/>
          <w:iCs/>
          <w:sz w:val="28"/>
          <w:szCs w:val="28"/>
          <w:lang w:val="el-GR"/>
        </w:rPr>
        <w:t>(</w:t>
      </w:r>
      <w:r w:rsidR="00647B95" w:rsidRPr="00647B95">
        <w:rPr>
          <w:rFonts w:ascii="Bookman Old Style" w:hAnsi="Bookman Old Style"/>
          <w:b/>
          <w:bCs/>
          <w:i/>
          <w:iCs/>
          <w:sz w:val="28"/>
          <w:szCs w:val="28"/>
          <w:lang w:val="el-GR"/>
        </w:rPr>
        <w:t>Α</w:t>
      </w:r>
      <w:r w:rsidR="003D455C">
        <w:rPr>
          <w:rFonts w:ascii="Bookman Old Style" w:hAnsi="Bookman Old Style"/>
          <w:b/>
          <w:bCs/>
          <w:i/>
          <w:iCs/>
          <w:sz w:val="28"/>
          <w:szCs w:val="28"/>
          <w:lang w:val="el-GR"/>
        </w:rPr>
        <w:t>)</w:t>
      </w:r>
      <w:r w:rsidR="00647B95" w:rsidRPr="00647B95">
        <w:rPr>
          <w:rFonts w:ascii="Bookman Old Style" w:hAnsi="Bookman Old Style"/>
          <w:sz w:val="28"/>
          <w:szCs w:val="28"/>
          <w:lang w:val="el-GR"/>
        </w:rPr>
        <w:t xml:space="preserve">, </w:t>
      </w:r>
      <w:r w:rsidR="00647B95">
        <w:rPr>
          <w:rFonts w:ascii="Bookman Old Style" w:hAnsi="Bookman Old Style"/>
          <w:sz w:val="28"/>
          <w:szCs w:val="28"/>
          <w:lang w:val="el-GR"/>
        </w:rPr>
        <w:t xml:space="preserve">και, </w:t>
      </w:r>
      <w:r w:rsidR="00647B95" w:rsidRPr="00647B95">
        <w:rPr>
          <w:rFonts w:ascii="Bookman Old Style" w:hAnsi="Bookman Old Style"/>
          <w:sz w:val="28"/>
          <w:szCs w:val="28"/>
          <w:lang w:val="el-GR"/>
        </w:rPr>
        <w:t>δίνοντας λόγο και αιτιολογία για την κατάληξή του</w:t>
      </w:r>
      <w:r w:rsidR="00647B95">
        <w:rPr>
          <w:rFonts w:ascii="Bookman Old Style" w:hAnsi="Bookman Old Style"/>
          <w:sz w:val="28"/>
          <w:szCs w:val="28"/>
          <w:lang w:val="el-GR"/>
        </w:rPr>
        <w:t xml:space="preserve">, </w:t>
      </w:r>
      <w:r w:rsidR="003E2625">
        <w:rPr>
          <w:rFonts w:ascii="Bookman Old Style" w:hAnsi="Bookman Old Style" w:cs="Arial"/>
          <w:sz w:val="28"/>
          <w:szCs w:val="28"/>
          <w:lang w:val="el-GR"/>
        </w:rPr>
        <w:t>απέρριψε την αιτούμενη θεραπεία.</w:t>
      </w:r>
      <w:r w:rsidR="00647B95">
        <w:rPr>
          <w:lang w:val="el-GR"/>
        </w:rPr>
        <w:t xml:space="preserve"> </w:t>
      </w:r>
      <w:r w:rsidR="00F1701A">
        <w:rPr>
          <w:rFonts w:ascii="Bookman Old Style" w:hAnsi="Bookman Old Style" w:cs="Arial"/>
          <w:sz w:val="28"/>
          <w:szCs w:val="28"/>
          <w:lang w:val="el-GR"/>
        </w:rPr>
        <w:t xml:space="preserve">Όπως λέχθηκε στην </w:t>
      </w:r>
      <w:r w:rsidR="00F1701A" w:rsidRPr="00F1701A">
        <w:rPr>
          <w:rFonts w:ascii="Bookman Old Style" w:hAnsi="Bookman Old Style" w:cs="Arial"/>
          <w:b/>
          <w:bCs/>
          <w:i/>
          <w:iCs/>
          <w:sz w:val="28"/>
          <w:szCs w:val="28"/>
          <w:lang w:val="el-GR"/>
        </w:rPr>
        <w:t>Αίτηση των Τσίμον κ.ά</w:t>
      </w:r>
      <w:r w:rsidR="003D455C">
        <w:rPr>
          <w:rFonts w:ascii="Bookman Old Style" w:hAnsi="Bookman Old Style" w:cs="Arial"/>
          <w:b/>
          <w:bCs/>
          <w:i/>
          <w:iCs/>
          <w:sz w:val="28"/>
          <w:szCs w:val="28"/>
          <w:lang w:val="el-GR"/>
        </w:rPr>
        <w:t>.</w:t>
      </w:r>
      <w:r w:rsidR="00F1701A" w:rsidRPr="00F1701A">
        <w:rPr>
          <w:rFonts w:ascii="Bookman Old Style" w:hAnsi="Bookman Old Style" w:cs="Arial"/>
          <w:b/>
          <w:bCs/>
          <w:i/>
          <w:iCs/>
          <w:sz w:val="28"/>
          <w:szCs w:val="28"/>
          <w:lang w:val="el-GR"/>
        </w:rPr>
        <w:t xml:space="preserve"> (1998) 1 Α.Α.Δ. 1417</w:t>
      </w:r>
      <w:r w:rsidR="00F1701A">
        <w:rPr>
          <w:rFonts w:ascii="Bookman Old Style" w:hAnsi="Bookman Old Style" w:cs="Arial"/>
          <w:sz w:val="28"/>
          <w:szCs w:val="28"/>
          <w:lang w:val="el-GR"/>
        </w:rPr>
        <w:t xml:space="preserve">, στη σοφία του ο κανονιστικός νομοθέτης θέσπισε τη </w:t>
      </w:r>
      <w:r w:rsidR="00F1701A" w:rsidRPr="00F1701A">
        <w:rPr>
          <w:rFonts w:ascii="Bookman Old Style" w:hAnsi="Bookman Old Style" w:cs="Arial"/>
          <w:b/>
          <w:bCs/>
          <w:i/>
          <w:iCs/>
          <w:sz w:val="28"/>
          <w:szCs w:val="28"/>
          <w:lang w:val="el-GR"/>
        </w:rPr>
        <w:t>Δ.48, θ. 8(4)</w:t>
      </w:r>
      <w:r w:rsidR="00F1701A">
        <w:rPr>
          <w:rFonts w:ascii="Bookman Old Style" w:hAnsi="Bookman Old Style" w:cs="Arial"/>
          <w:b/>
          <w:bCs/>
          <w:sz w:val="28"/>
          <w:szCs w:val="28"/>
          <w:lang w:val="el-GR"/>
        </w:rPr>
        <w:t xml:space="preserve"> </w:t>
      </w:r>
      <w:r w:rsidR="00F1701A">
        <w:rPr>
          <w:rFonts w:ascii="Bookman Old Style" w:hAnsi="Bookman Old Style" w:cs="Arial"/>
          <w:sz w:val="28"/>
          <w:szCs w:val="28"/>
          <w:lang w:val="el-GR"/>
        </w:rPr>
        <w:t>ώστε οι διαφορές να επιλύονται πρωτίστως στο Επαρχιακό Δικαστήριο, σε πρώτο, δηλαδή, βαθμό και μετέπειτα, και, εν ανάγκη, και κατ</w:t>
      </w:r>
      <w:r w:rsidR="003D455C">
        <w:rPr>
          <w:rFonts w:ascii="Bookman Old Style" w:hAnsi="Bookman Old Style" w:cs="Arial"/>
          <w:sz w:val="28"/>
          <w:szCs w:val="28"/>
          <w:lang w:val="el-GR"/>
        </w:rPr>
        <w:t xml:space="preserve">’ </w:t>
      </w:r>
      <w:r w:rsidR="00F1701A">
        <w:rPr>
          <w:rFonts w:ascii="Bookman Old Style" w:hAnsi="Bookman Old Style" w:cs="Arial"/>
          <w:sz w:val="28"/>
          <w:szCs w:val="28"/>
          <w:lang w:val="el-GR"/>
        </w:rPr>
        <w:t>έφεση.</w:t>
      </w:r>
    </w:p>
    <w:p w14:paraId="6E9702F2" w14:textId="77777777" w:rsidR="00F1701A" w:rsidRPr="00F1701A" w:rsidRDefault="00F1701A" w:rsidP="005F2CAA">
      <w:pPr>
        <w:overflowPunct w:val="0"/>
        <w:spacing w:line="480" w:lineRule="auto"/>
        <w:ind w:right="62"/>
        <w:jc w:val="both"/>
        <w:rPr>
          <w:rFonts w:ascii="Bookman Old Style" w:hAnsi="Bookman Old Style" w:cs="Arial"/>
          <w:sz w:val="28"/>
          <w:szCs w:val="28"/>
          <w:lang w:val="el-GR"/>
        </w:rPr>
      </w:pPr>
    </w:p>
    <w:p w14:paraId="0ADD091F" w14:textId="02F0E84F" w:rsidR="009302E6" w:rsidRDefault="00761644" w:rsidP="005F2CAA">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Η πιο πάνω επισήμανση με οδηγεί στο επόμενο σημείο, ήτοι στο</w:t>
      </w:r>
      <w:r w:rsidR="009302E6" w:rsidRPr="003B7261">
        <w:rPr>
          <w:rFonts w:ascii="Bookman Old Style" w:hAnsi="Bookman Old Style" w:cs="Arial"/>
          <w:sz w:val="28"/>
          <w:szCs w:val="28"/>
          <w:lang w:val="el-GR"/>
        </w:rPr>
        <w:t xml:space="preserve"> ότι η προσβαλλόμενη Απόφαση του Κατώτερου Δικαστηρίου μπορεί κάλλιστα να αποτελέσει αντικείμενο έφεσης.</w:t>
      </w:r>
    </w:p>
    <w:p w14:paraId="176F4EEA" w14:textId="77777777" w:rsidR="00131F61" w:rsidRPr="003B7261" w:rsidRDefault="00131F61" w:rsidP="005F2CAA">
      <w:pPr>
        <w:overflowPunct w:val="0"/>
        <w:spacing w:line="480" w:lineRule="auto"/>
        <w:ind w:right="62"/>
        <w:jc w:val="both"/>
        <w:rPr>
          <w:rFonts w:ascii="Bookman Old Style" w:hAnsi="Bookman Old Style" w:cs="Arial"/>
          <w:sz w:val="28"/>
          <w:szCs w:val="28"/>
          <w:lang w:val="el-GR"/>
        </w:rPr>
      </w:pPr>
    </w:p>
    <w:p w14:paraId="74B98AAB" w14:textId="7D936D12" w:rsidR="009302E6" w:rsidRPr="003B7261" w:rsidRDefault="009302E6" w:rsidP="005F2CAA">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lang w:val="el-GR"/>
        </w:rPr>
        <w:t xml:space="preserve">Όπως εξηγείται από τον Κωνσταντινίδη, Δ. στην </w:t>
      </w:r>
      <w:r w:rsidRPr="003B7261">
        <w:rPr>
          <w:rFonts w:ascii="Bookman Old Style" w:hAnsi="Bookman Old Style" w:cs="Arial"/>
          <w:b/>
          <w:bCs/>
          <w:i/>
          <w:iCs/>
          <w:sz w:val="28"/>
          <w:szCs w:val="28"/>
          <w:lang w:val="en-US"/>
        </w:rPr>
        <w:t>Hellenger</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n-US"/>
        </w:rPr>
        <w:t>Trading</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n-US"/>
        </w:rPr>
        <w:t>Ltd</w:t>
      </w:r>
      <w:r w:rsidRPr="003B7261">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(2000) 1(Γ) Α.Α.Δ. 1965</w:t>
      </w:r>
      <w:r>
        <w:rPr>
          <w:rFonts w:ascii="Bookman Old Style" w:hAnsi="Bookman Old Style" w:cs="Arial"/>
          <w:sz w:val="28"/>
          <w:szCs w:val="28"/>
          <w:lang w:val="el-GR"/>
        </w:rPr>
        <w:t>,</w:t>
      </w:r>
      <w:r w:rsidRPr="003B7261">
        <w:rPr>
          <w:rFonts w:ascii="Bookman Old Style" w:hAnsi="Bookman Old Style" w:cs="Arial"/>
          <w:sz w:val="28"/>
          <w:szCs w:val="28"/>
          <w:lang w:val="el-GR"/>
        </w:rPr>
        <w:t xml:space="preserve"> στη σελ. 1975:</w:t>
      </w:r>
    </w:p>
    <w:p w14:paraId="0D09C9F8" w14:textId="77777777" w:rsidR="009302E6" w:rsidRPr="00964D63" w:rsidRDefault="009302E6" w:rsidP="005F2CAA">
      <w:pPr>
        <w:overflowPunct w:val="0"/>
        <w:spacing w:line="480" w:lineRule="auto"/>
        <w:ind w:right="62"/>
        <w:jc w:val="both"/>
        <w:rPr>
          <w:rFonts w:ascii="Bookman Old Style" w:hAnsi="Bookman Old Style"/>
          <w:sz w:val="28"/>
          <w:szCs w:val="28"/>
          <w:lang w:val="el-GR"/>
        </w:rPr>
      </w:pPr>
    </w:p>
    <w:p w14:paraId="4B95EEB5" w14:textId="2251DC92" w:rsidR="009302E6" w:rsidRDefault="009302E6" w:rsidP="005F2CAA">
      <w:pPr>
        <w:overflowPunct w:val="0"/>
        <w:spacing w:line="276" w:lineRule="auto"/>
        <w:ind w:left="426" w:right="390"/>
        <w:jc w:val="both"/>
        <w:rPr>
          <w:rFonts w:ascii="Bookman Old Style" w:hAnsi="Bookman Old Style" w:cstheme="minorBidi"/>
          <w:sz w:val="28"/>
          <w:szCs w:val="28"/>
          <w:lang w:val="el-GR"/>
        </w:rPr>
      </w:pPr>
      <w:r w:rsidRPr="00964D63">
        <w:rPr>
          <w:rFonts w:ascii="Bookman Old Style" w:hAnsi="Bookman Old Style" w:cstheme="minorBidi"/>
          <w:sz w:val="28"/>
          <w:szCs w:val="28"/>
          <w:lang w:val="el-GR"/>
        </w:rPr>
        <w:t>«</w:t>
      </w:r>
      <w:r w:rsidRPr="00964D63">
        <w:rPr>
          <w:rFonts w:ascii="Bookman Old Style" w:hAnsi="Bookman Old Style" w:cstheme="minorBidi"/>
          <w:i/>
          <w:iCs/>
          <w:sz w:val="28"/>
          <w:szCs w:val="28"/>
          <w:lang w:val="el-GR"/>
        </w:rPr>
        <w:t>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Ανωτάτου Δικαστηρίου, δεν δικαιολογείται</w:t>
      </w:r>
      <w:r w:rsidRPr="00964D63">
        <w:rPr>
          <w:rFonts w:ascii="Bookman Old Style" w:hAnsi="Bookman Old Style" w:cstheme="minorBidi"/>
          <w:sz w:val="28"/>
          <w:szCs w:val="28"/>
          <w:lang w:val="el-GR"/>
        </w:rPr>
        <w:t>.»</w:t>
      </w:r>
    </w:p>
    <w:p w14:paraId="2388D76A" w14:textId="77777777" w:rsidR="00FB0ED2" w:rsidRPr="00964D63" w:rsidRDefault="00FB0ED2" w:rsidP="005F2CAA">
      <w:pPr>
        <w:overflowPunct w:val="0"/>
        <w:spacing w:line="276" w:lineRule="auto"/>
        <w:ind w:left="426" w:right="390"/>
        <w:jc w:val="both"/>
        <w:rPr>
          <w:rFonts w:ascii="Bookman Old Style" w:hAnsi="Bookman Old Style" w:cstheme="minorBidi"/>
          <w:sz w:val="28"/>
          <w:szCs w:val="28"/>
          <w:lang w:val="el-GR"/>
        </w:rPr>
      </w:pPr>
    </w:p>
    <w:p w14:paraId="3E48F4A7" w14:textId="77777777" w:rsidR="00964D63" w:rsidRDefault="00964D63" w:rsidP="005F2CAA">
      <w:pPr>
        <w:overflowPunct w:val="0"/>
        <w:spacing w:line="480" w:lineRule="auto"/>
        <w:ind w:right="62"/>
        <w:jc w:val="both"/>
        <w:rPr>
          <w:rFonts w:ascii="Bookman Old Style" w:hAnsi="Bookman Old Style" w:cstheme="minorBidi"/>
          <w:sz w:val="28"/>
          <w:szCs w:val="28"/>
          <w:lang w:val="el-GR"/>
        </w:rPr>
      </w:pPr>
    </w:p>
    <w:p w14:paraId="04463DCC" w14:textId="0BAB1B74" w:rsidR="009302E6" w:rsidRPr="003B7261" w:rsidRDefault="009302E6" w:rsidP="005F2CAA">
      <w:pPr>
        <w:overflowPunct w:val="0"/>
        <w:spacing w:line="480" w:lineRule="auto"/>
        <w:ind w:right="62"/>
        <w:jc w:val="both"/>
        <w:rPr>
          <w:rFonts w:ascii="Bookman Old Style" w:hAnsi="Bookman Old Style" w:cstheme="minorBidi"/>
          <w:sz w:val="28"/>
          <w:szCs w:val="28"/>
          <w:lang w:val="el-GR"/>
        </w:rPr>
      </w:pPr>
      <w:r w:rsidRPr="003B7261">
        <w:rPr>
          <w:rFonts w:ascii="Bookman Old Style" w:hAnsi="Bookman Old Style" w:cstheme="minorBidi"/>
          <w:sz w:val="28"/>
          <w:szCs w:val="28"/>
          <w:lang w:val="el-GR"/>
        </w:rPr>
        <w:t xml:space="preserve">Στην υπόθεση </w:t>
      </w:r>
      <w:r w:rsidRPr="003B7261">
        <w:rPr>
          <w:rFonts w:ascii="Bookman Old Style" w:hAnsi="Bookman Old Style" w:cstheme="minorBidi"/>
          <w:b/>
          <w:bCs/>
          <w:i/>
          <w:iCs/>
          <w:sz w:val="28"/>
          <w:szCs w:val="28"/>
          <w:lang w:val="el-GR"/>
        </w:rPr>
        <w:t>Αναφορικά με την Αίτηση του Μιτέλα,</w:t>
      </w:r>
      <w:r>
        <w:rPr>
          <w:rFonts w:ascii="Bookman Old Style" w:hAnsi="Bookman Old Style" w:cstheme="minorBidi"/>
          <w:b/>
          <w:bCs/>
          <w:i/>
          <w:iCs/>
          <w:sz w:val="28"/>
          <w:szCs w:val="28"/>
          <w:lang w:val="el-GR"/>
        </w:rPr>
        <w:t xml:space="preserve"> Πολιτική Έφεση Αρ. 43/2019, ημερ. 2/4/2019</w:t>
      </w:r>
      <w:r>
        <w:rPr>
          <w:rFonts w:ascii="Bookman Old Style" w:hAnsi="Bookman Old Style" w:cstheme="minorBidi"/>
          <w:sz w:val="28"/>
          <w:szCs w:val="28"/>
          <w:lang w:val="el-GR"/>
        </w:rPr>
        <w:t xml:space="preserve">, τονίσθηκε ότι </w:t>
      </w:r>
      <w:r w:rsidRPr="003B7261">
        <w:rPr>
          <w:rFonts w:ascii="Bookman Old Style" w:hAnsi="Bookman Old Style" w:cstheme="minorBidi"/>
          <w:sz w:val="28"/>
          <w:szCs w:val="28"/>
          <w:lang w:val="el-GR"/>
        </w:rPr>
        <w:t>«η</w:t>
      </w:r>
      <w:r w:rsidRPr="003B7261">
        <w:rPr>
          <w:rFonts w:ascii="Bookman Old Style" w:hAnsi="Bookman Old Style" w:cstheme="minorBidi"/>
          <w:i/>
          <w:iCs/>
          <w:sz w:val="28"/>
          <w:szCs w:val="28"/>
          <w:lang w:val="el-GR"/>
        </w:rPr>
        <w:t xml:space="preserve"> έκδοση προνομιακών ενταλμάτων δεν λειτουργεί ως υποκατάστατο της έφεσης ή άλλων ένδικων μέσων, ούτε είναι λόγος ενεργοποίησης της εφεδρείας της δικαιοδοσίας αυτής του Ανωτάτου Δικαστηρίου ο τυχόν σημαντικός </w:t>
      </w:r>
      <w:r>
        <w:rPr>
          <w:rFonts w:ascii="Bookman Old Style" w:hAnsi="Bookman Old Style" w:cstheme="minorBidi"/>
          <w:i/>
          <w:iCs/>
          <w:sz w:val="28"/>
          <w:szCs w:val="28"/>
          <w:lang w:val="el-GR"/>
        </w:rPr>
        <w:t xml:space="preserve">                      </w:t>
      </w:r>
      <w:r w:rsidRPr="003B7261">
        <w:rPr>
          <w:rFonts w:ascii="Bookman Old Style" w:hAnsi="Bookman Old Style" w:cstheme="minorBidi"/>
          <w:i/>
          <w:iCs/>
          <w:sz w:val="28"/>
          <w:szCs w:val="28"/>
          <w:lang w:val="el-GR"/>
        </w:rPr>
        <w:t>χρόνος που απαιτείται για διεκπεραίωση εναλλακτικών διαδικασιών, συμπεριλαμβανομένης της έφεσης</w:t>
      </w:r>
      <w:r w:rsidRPr="003B7261">
        <w:rPr>
          <w:rFonts w:ascii="Bookman Old Style" w:hAnsi="Bookman Old Style" w:cstheme="minorBidi"/>
          <w:sz w:val="28"/>
          <w:szCs w:val="28"/>
          <w:lang w:val="el-GR"/>
        </w:rPr>
        <w:t>».</w:t>
      </w:r>
    </w:p>
    <w:p w14:paraId="15BD794E" w14:textId="77777777" w:rsidR="009302E6" w:rsidRPr="003B7261" w:rsidRDefault="009302E6" w:rsidP="009302E6">
      <w:pPr>
        <w:overflowPunct w:val="0"/>
        <w:spacing w:line="480" w:lineRule="auto"/>
        <w:ind w:right="62"/>
        <w:jc w:val="both"/>
        <w:rPr>
          <w:rFonts w:ascii="Bookman Old Style" w:hAnsi="Bookman Old Style"/>
          <w:sz w:val="28"/>
          <w:szCs w:val="28"/>
          <w:lang w:val="el-GR"/>
        </w:rPr>
      </w:pPr>
    </w:p>
    <w:p w14:paraId="20E34FAC" w14:textId="77777777" w:rsidR="009302E6" w:rsidRPr="003B7261" w:rsidRDefault="009302E6" w:rsidP="009302E6">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lang w:val="el-GR"/>
        </w:rPr>
        <w:t>Στη βάση των πιο πάνω, δεν έχω ικανοποιηθεί ότι υπάρχει εκ πρώτης όψεως υπόθεση και/ή συζητήσιμο θέμα. Ούτε έχω ικανοποιηθεί ότι ο</w:t>
      </w:r>
      <w:r>
        <w:rPr>
          <w:rFonts w:ascii="Bookman Old Style" w:hAnsi="Bookman Old Style" w:cs="Arial"/>
          <w:sz w:val="28"/>
          <w:szCs w:val="28"/>
          <w:lang w:val="el-GR"/>
        </w:rPr>
        <w:t>ι</w:t>
      </w:r>
      <w:r w:rsidRPr="003B7261">
        <w:rPr>
          <w:rFonts w:ascii="Bookman Old Style" w:hAnsi="Bookman Old Style" w:cs="Arial"/>
          <w:sz w:val="28"/>
          <w:szCs w:val="28"/>
          <w:lang w:val="el-GR"/>
        </w:rPr>
        <w:t xml:space="preserve"> Αιτητ</w:t>
      </w:r>
      <w:r>
        <w:rPr>
          <w:rFonts w:ascii="Bookman Old Style" w:hAnsi="Bookman Old Style" w:cs="Arial"/>
          <w:sz w:val="28"/>
          <w:szCs w:val="28"/>
          <w:lang w:val="el-GR"/>
        </w:rPr>
        <w:t>έ</w:t>
      </w:r>
      <w:r w:rsidRPr="003B7261">
        <w:rPr>
          <w:rFonts w:ascii="Bookman Old Style" w:hAnsi="Bookman Old Style" w:cs="Arial"/>
          <w:sz w:val="28"/>
          <w:szCs w:val="28"/>
          <w:lang w:val="el-GR"/>
        </w:rPr>
        <w:t>ς με τα όσα έχ</w:t>
      </w:r>
      <w:r>
        <w:rPr>
          <w:rFonts w:ascii="Bookman Old Style" w:hAnsi="Bookman Old Style" w:cs="Arial"/>
          <w:sz w:val="28"/>
          <w:szCs w:val="28"/>
          <w:lang w:val="el-GR"/>
        </w:rPr>
        <w:t>ουν</w:t>
      </w:r>
      <w:r w:rsidRPr="003B7261">
        <w:rPr>
          <w:rFonts w:ascii="Bookman Old Style" w:hAnsi="Bookman Old Style" w:cs="Arial"/>
          <w:sz w:val="28"/>
          <w:szCs w:val="28"/>
          <w:lang w:val="el-GR"/>
        </w:rPr>
        <w:t xml:space="preserve"> πιο πάνω αναφέρει και με δεδομένη τη δυνατότητα έφεσης, έχ</w:t>
      </w:r>
      <w:r>
        <w:rPr>
          <w:rFonts w:ascii="Bookman Old Style" w:hAnsi="Bookman Old Style" w:cs="Arial"/>
          <w:sz w:val="28"/>
          <w:szCs w:val="28"/>
          <w:lang w:val="el-GR"/>
        </w:rPr>
        <w:t>ουν</w:t>
      </w:r>
      <w:r w:rsidRPr="003B7261">
        <w:rPr>
          <w:rFonts w:ascii="Bookman Old Style" w:hAnsi="Bookman Old Style" w:cs="Arial"/>
          <w:sz w:val="28"/>
          <w:szCs w:val="28"/>
          <w:lang w:val="el-GR"/>
        </w:rPr>
        <w:t xml:space="preserve"> καταδείξει την ύπαρξη εξαιρετικών περιστάσεων που να δικαιολογούν τη χορήγηση της αιτούμενης άδειας.</w:t>
      </w:r>
    </w:p>
    <w:p w14:paraId="4B744503" w14:textId="77777777" w:rsidR="009302E6" w:rsidRPr="003B7261" w:rsidRDefault="009302E6" w:rsidP="009302E6">
      <w:pPr>
        <w:overflowPunct w:val="0"/>
        <w:spacing w:line="480" w:lineRule="auto"/>
        <w:ind w:right="62"/>
        <w:jc w:val="both"/>
        <w:rPr>
          <w:rFonts w:ascii="Bookman Old Style" w:hAnsi="Bookman Old Style" w:cs="Arial"/>
          <w:sz w:val="28"/>
          <w:szCs w:val="28"/>
          <w:lang w:val="el-GR"/>
        </w:rPr>
      </w:pPr>
    </w:p>
    <w:p w14:paraId="79123EEC" w14:textId="187F9D90" w:rsidR="009302E6" w:rsidRDefault="009302E6" w:rsidP="009302E6">
      <w:pPr>
        <w:overflowPunct w:val="0"/>
        <w:spacing w:line="480" w:lineRule="auto"/>
        <w:ind w:right="62"/>
        <w:jc w:val="both"/>
        <w:rPr>
          <w:rFonts w:ascii="Bookman Old Style" w:hAnsi="Bookman Old Style"/>
          <w:i/>
          <w:iCs/>
          <w:sz w:val="28"/>
          <w:szCs w:val="28"/>
          <w:lang w:val="el-GR"/>
        </w:rPr>
      </w:pPr>
      <w:r w:rsidRPr="003B7261">
        <w:rPr>
          <w:rFonts w:ascii="Bookman Old Style" w:hAnsi="Bookman Old Style" w:cs="Arial"/>
          <w:sz w:val="28"/>
          <w:szCs w:val="28"/>
        </w:rPr>
        <w:t> </w:t>
      </w:r>
      <w:r w:rsidRPr="003B7261">
        <w:rPr>
          <w:rFonts w:ascii="Bookman Old Style" w:hAnsi="Bookman Old Style" w:cs="Arial"/>
          <w:sz w:val="28"/>
          <w:szCs w:val="28"/>
          <w:lang w:val="el-GR"/>
        </w:rPr>
        <w:t xml:space="preserve">Ως εκ τούτου, </w:t>
      </w:r>
      <w:r w:rsidRPr="003B7261">
        <w:rPr>
          <w:rFonts w:ascii="Bookman Old Style" w:hAnsi="Bookman Old Style" w:cs="Arial"/>
          <w:b/>
          <w:bCs/>
          <w:sz w:val="28"/>
          <w:szCs w:val="28"/>
          <w:lang w:val="el-GR"/>
        </w:rPr>
        <w:t>η υπό κρίση Αίτηση απορρίπτεται</w:t>
      </w:r>
      <w:r w:rsidRPr="003B7261">
        <w:rPr>
          <w:rFonts w:ascii="Bookman Old Style" w:hAnsi="Bookman Old Style" w:cs="Arial"/>
          <w:sz w:val="28"/>
          <w:szCs w:val="28"/>
          <w:lang w:val="el-GR"/>
        </w:rPr>
        <w:t>.</w:t>
      </w:r>
      <w:r w:rsidRPr="003B7261">
        <w:rPr>
          <w:rFonts w:ascii="Bookman Old Style" w:hAnsi="Bookman Old Style"/>
          <w:i/>
          <w:iCs/>
          <w:sz w:val="28"/>
          <w:szCs w:val="28"/>
        </w:rPr>
        <w:t> </w:t>
      </w:r>
    </w:p>
    <w:p w14:paraId="29792A56" w14:textId="77777777" w:rsidR="00964D63" w:rsidRDefault="00964D63" w:rsidP="009302E6">
      <w:pPr>
        <w:overflowPunct w:val="0"/>
        <w:spacing w:line="480" w:lineRule="auto"/>
        <w:ind w:right="62"/>
        <w:jc w:val="both"/>
        <w:rPr>
          <w:rFonts w:ascii="Bookman Old Style" w:hAnsi="Bookman Old Style"/>
          <w:i/>
          <w:iCs/>
          <w:sz w:val="28"/>
          <w:szCs w:val="28"/>
          <w:lang w:val="el-GR"/>
        </w:rPr>
      </w:pPr>
    </w:p>
    <w:p w14:paraId="27AF329E" w14:textId="77777777" w:rsidR="00761644" w:rsidRDefault="00761644" w:rsidP="009302E6">
      <w:pPr>
        <w:overflowPunct w:val="0"/>
        <w:spacing w:line="480" w:lineRule="auto"/>
        <w:ind w:right="62"/>
        <w:jc w:val="both"/>
        <w:rPr>
          <w:rFonts w:ascii="Bookman Old Style" w:hAnsi="Bookman Old Style"/>
          <w:i/>
          <w:iCs/>
          <w:sz w:val="28"/>
          <w:szCs w:val="28"/>
          <w:lang w:val="el-GR"/>
        </w:rPr>
      </w:pPr>
    </w:p>
    <w:p w14:paraId="30C0AFA3" w14:textId="77777777" w:rsidR="00761644" w:rsidRPr="00964D63" w:rsidRDefault="00761644" w:rsidP="009302E6">
      <w:pPr>
        <w:overflowPunct w:val="0"/>
        <w:spacing w:line="480" w:lineRule="auto"/>
        <w:ind w:right="62"/>
        <w:jc w:val="both"/>
        <w:rPr>
          <w:rFonts w:ascii="Bookman Old Style" w:hAnsi="Bookman Old Style"/>
          <w:i/>
          <w:iCs/>
          <w:sz w:val="28"/>
          <w:szCs w:val="28"/>
          <w:lang w:val="el-GR"/>
        </w:rPr>
      </w:pPr>
    </w:p>
    <w:p w14:paraId="4FBF88C0" w14:textId="77777777" w:rsidR="00FA41E9" w:rsidRPr="00D7355B" w:rsidRDefault="00FA41E9" w:rsidP="00D7355B">
      <w:pPr>
        <w:spacing w:line="480" w:lineRule="auto"/>
        <w:jc w:val="both"/>
        <w:rPr>
          <w:rFonts w:ascii="Bookman Old Style" w:hAnsi="Bookman Old Style" w:cs="Arial"/>
          <w:sz w:val="28"/>
          <w:szCs w:val="28"/>
          <w:lang w:val="el-GR"/>
        </w:rPr>
      </w:pPr>
    </w:p>
    <w:p w14:paraId="059B582B" w14:textId="71966E7F" w:rsidR="006947D3" w:rsidRDefault="004C29CA" w:rsidP="00964D63">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964D63">
        <w:rPr>
          <w:rFonts w:ascii="Bookman Old Style" w:hAnsi="Bookman Old Style" w:cs="Arial"/>
          <w:b/>
          <w:sz w:val="28"/>
          <w:szCs w:val="28"/>
          <w:lang w:val="el-GR"/>
        </w:rPr>
        <w:t xml:space="preserve">           </w:t>
      </w:r>
      <w:r w:rsidR="007E4121">
        <w:rPr>
          <w:rFonts w:ascii="Bookman Old Style" w:hAnsi="Bookman Old Style" w:cs="Arial"/>
          <w:b/>
          <w:sz w:val="28"/>
          <w:szCs w:val="28"/>
          <w:lang w:val="el-GR"/>
        </w:rPr>
        <w:t xml:space="preserve">    </w:t>
      </w:r>
      <w:r w:rsidR="00964D63">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r w:rsidR="00964D63" w:rsidRPr="00964D63">
        <w:rPr>
          <w:rFonts w:ascii="Bookman Old Style" w:hAnsi="Bookman Old Style" w:cs="Arial"/>
          <w:b/>
          <w:sz w:val="28"/>
          <w:szCs w:val="28"/>
          <w:lang w:val="el-GR"/>
        </w:rPr>
        <w:t xml:space="preserve"> </w:t>
      </w:r>
    </w:p>
    <w:p w14:paraId="0F1CDD67" w14:textId="05C8C8EA" w:rsidR="004C29CA" w:rsidRPr="007A0D8E" w:rsidRDefault="006947D3" w:rsidP="006947D3">
      <w:pPr>
        <w:spacing w:line="480" w:lineRule="auto"/>
        <w:ind w:left="432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964D63">
        <w:rPr>
          <w:rFonts w:ascii="Bookman Old Style" w:hAnsi="Bookman Old Style" w:cs="Arial"/>
          <w:b/>
          <w:sz w:val="28"/>
          <w:szCs w:val="28"/>
          <w:lang w:val="el-GR"/>
        </w:rPr>
        <w:t>Δ.</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p>
    <w:sectPr w:rsidR="004C29CA" w:rsidRPr="007A0D8E" w:rsidSect="0011447B">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1F4F" w14:textId="77777777" w:rsidR="006A2165" w:rsidRDefault="006A2165" w:rsidP="00B43113">
      <w:r>
        <w:separator/>
      </w:r>
    </w:p>
  </w:endnote>
  <w:endnote w:type="continuationSeparator" w:id="0">
    <w:p w14:paraId="10772741" w14:textId="77777777" w:rsidR="006A2165" w:rsidRDefault="006A2165"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9163" w14:textId="77777777" w:rsidR="006A2165" w:rsidRDefault="006A2165" w:rsidP="00B43113">
      <w:r>
        <w:separator/>
      </w:r>
    </w:p>
  </w:footnote>
  <w:footnote w:type="continuationSeparator" w:id="0">
    <w:p w14:paraId="2B7B05BF" w14:textId="77777777" w:rsidR="006A2165" w:rsidRDefault="006A2165" w:rsidP="00B43113">
      <w:r>
        <w:continuationSeparator/>
      </w:r>
    </w:p>
  </w:footnote>
  <w:footnote w:id="1">
    <w:p w14:paraId="2F1B86D9" w14:textId="4CA1C221" w:rsidR="00761644" w:rsidRPr="00761644" w:rsidRDefault="00761644" w:rsidP="00761644">
      <w:pPr>
        <w:pStyle w:val="FootnoteText"/>
        <w:spacing w:line="276" w:lineRule="auto"/>
        <w:jc w:val="both"/>
        <w:rPr>
          <w:rFonts w:ascii="Bookman Old Style" w:hAnsi="Bookman Old Style"/>
          <w:i/>
          <w:iCs/>
          <w:sz w:val="22"/>
          <w:szCs w:val="22"/>
          <w:lang w:val="en-US"/>
        </w:rPr>
      </w:pPr>
      <w:r w:rsidRPr="00761644">
        <w:rPr>
          <w:rStyle w:val="FootnoteReference"/>
          <w:rFonts w:ascii="Bookman Old Style" w:hAnsi="Bookman Old Style"/>
          <w:i/>
          <w:iCs/>
          <w:sz w:val="22"/>
          <w:szCs w:val="22"/>
        </w:rPr>
        <w:footnoteRef/>
      </w:r>
      <w:r w:rsidRPr="00761644">
        <w:rPr>
          <w:rFonts w:ascii="Bookman Old Style" w:hAnsi="Bookman Old Style"/>
          <w:i/>
          <w:iCs/>
          <w:sz w:val="22"/>
          <w:szCs w:val="22"/>
        </w:rPr>
        <w:t xml:space="preserve"> </w:t>
      </w:r>
      <w:r w:rsidRPr="00761644">
        <w:rPr>
          <w:rFonts w:ascii="Bookman Old Style" w:hAnsi="Bookman Old Style"/>
          <w:b/>
          <w:bCs/>
          <w:i/>
          <w:iCs/>
          <w:sz w:val="22"/>
          <w:szCs w:val="22"/>
        </w:rPr>
        <w:t>(4)</w:t>
      </w:r>
      <w:r w:rsidRPr="00761644">
        <w:rPr>
          <w:rFonts w:ascii="Bookman Old Style" w:hAnsi="Bookman Old Style"/>
          <w:i/>
          <w:iCs/>
          <w:sz w:val="22"/>
          <w:szCs w:val="22"/>
        </w:rPr>
        <w:t> Any person (other than the applicant) affected by an order made ex parte may apply by summons to have it set aside or varied and the Court or Judge may set aside or vary such order on such terms as may seem just.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51745E79" w:rsidR="00CF75E4" w:rsidRDefault="00CF75E4">
    <w:pPr>
      <w:pStyle w:val="Header"/>
      <w:jc w:val="center"/>
    </w:pPr>
    <w:r>
      <w:fldChar w:fldCharType="begin"/>
    </w:r>
    <w:r>
      <w:instrText xml:space="preserve"> PAGE   \* MERGEFORMAT </w:instrText>
    </w:r>
    <w:r>
      <w:fldChar w:fldCharType="separate"/>
    </w:r>
    <w:r w:rsidR="000B0A56">
      <w:rPr>
        <w:noProof/>
      </w:rPr>
      <w:t>16</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5"/>
  </w:num>
  <w:num w:numId="14">
    <w:abstractNumId w:val="2"/>
  </w:num>
  <w:num w:numId="15">
    <w:abstractNumId w:val="8"/>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13653"/>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0A56"/>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447B"/>
    <w:rsid w:val="00117C36"/>
    <w:rsid w:val="00120A8A"/>
    <w:rsid w:val="00121049"/>
    <w:rsid w:val="0012137B"/>
    <w:rsid w:val="001300E1"/>
    <w:rsid w:val="00131F61"/>
    <w:rsid w:val="0013347A"/>
    <w:rsid w:val="0013436B"/>
    <w:rsid w:val="00134644"/>
    <w:rsid w:val="00136F62"/>
    <w:rsid w:val="00137315"/>
    <w:rsid w:val="00137D46"/>
    <w:rsid w:val="00142764"/>
    <w:rsid w:val="00144D59"/>
    <w:rsid w:val="001478D9"/>
    <w:rsid w:val="00147A72"/>
    <w:rsid w:val="001505E5"/>
    <w:rsid w:val="001506D1"/>
    <w:rsid w:val="001510AD"/>
    <w:rsid w:val="0015347A"/>
    <w:rsid w:val="0016041B"/>
    <w:rsid w:val="001607AD"/>
    <w:rsid w:val="00160B11"/>
    <w:rsid w:val="00162A0D"/>
    <w:rsid w:val="00171E30"/>
    <w:rsid w:val="001725B7"/>
    <w:rsid w:val="0017450C"/>
    <w:rsid w:val="0017483E"/>
    <w:rsid w:val="00175021"/>
    <w:rsid w:val="0018425D"/>
    <w:rsid w:val="001858AB"/>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2F2F"/>
    <w:rsid w:val="001F3DAA"/>
    <w:rsid w:val="001F62D3"/>
    <w:rsid w:val="00201878"/>
    <w:rsid w:val="0020248C"/>
    <w:rsid w:val="00202A2C"/>
    <w:rsid w:val="00203D28"/>
    <w:rsid w:val="002107FF"/>
    <w:rsid w:val="00210B96"/>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6B05"/>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1CDB"/>
    <w:rsid w:val="003472C7"/>
    <w:rsid w:val="0035313C"/>
    <w:rsid w:val="003550E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455C"/>
    <w:rsid w:val="003D7822"/>
    <w:rsid w:val="003E1C8C"/>
    <w:rsid w:val="003E1F2E"/>
    <w:rsid w:val="003E2625"/>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09FA"/>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4158"/>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51F6"/>
    <w:rsid w:val="00556A1C"/>
    <w:rsid w:val="00557581"/>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5FDB"/>
    <w:rsid w:val="005B7ADB"/>
    <w:rsid w:val="005C013E"/>
    <w:rsid w:val="005C14ED"/>
    <w:rsid w:val="005C1C7C"/>
    <w:rsid w:val="005C3B3A"/>
    <w:rsid w:val="005C6032"/>
    <w:rsid w:val="005D2199"/>
    <w:rsid w:val="005D28AB"/>
    <w:rsid w:val="005D2F28"/>
    <w:rsid w:val="005D5130"/>
    <w:rsid w:val="005D6545"/>
    <w:rsid w:val="005E022A"/>
    <w:rsid w:val="005E445B"/>
    <w:rsid w:val="005E52F1"/>
    <w:rsid w:val="005E71BE"/>
    <w:rsid w:val="005E7D07"/>
    <w:rsid w:val="005F2CAA"/>
    <w:rsid w:val="00601276"/>
    <w:rsid w:val="00607D06"/>
    <w:rsid w:val="006136F7"/>
    <w:rsid w:val="00624596"/>
    <w:rsid w:val="006247F0"/>
    <w:rsid w:val="006318B0"/>
    <w:rsid w:val="006334D9"/>
    <w:rsid w:val="00634CA2"/>
    <w:rsid w:val="006351AC"/>
    <w:rsid w:val="00636238"/>
    <w:rsid w:val="00637F1D"/>
    <w:rsid w:val="0064184F"/>
    <w:rsid w:val="006444DE"/>
    <w:rsid w:val="00646095"/>
    <w:rsid w:val="00647A1A"/>
    <w:rsid w:val="00647B95"/>
    <w:rsid w:val="006517ED"/>
    <w:rsid w:val="006547C5"/>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7D3"/>
    <w:rsid w:val="00694AF3"/>
    <w:rsid w:val="00697CB0"/>
    <w:rsid w:val="006A030A"/>
    <w:rsid w:val="006A2165"/>
    <w:rsid w:val="006A219E"/>
    <w:rsid w:val="006A35A6"/>
    <w:rsid w:val="006A457C"/>
    <w:rsid w:val="006B1138"/>
    <w:rsid w:val="006B1A70"/>
    <w:rsid w:val="006C0510"/>
    <w:rsid w:val="006D20A9"/>
    <w:rsid w:val="006D7166"/>
    <w:rsid w:val="006D7A84"/>
    <w:rsid w:val="006E0506"/>
    <w:rsid w:val="006E1250"/>
    <w:rsid w:val="006E136C"/>
    <w:rsid w:val="006E5EC2"/>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1644"/>
    <w:rsid w:val="00765F70"/>
    <w:rsid w:val="007671CB"/>
    <w:rsid w:val="007715DB"/>
    <w:rsid w:val="00773FD7"/>
    <w:rsid w:val="00774795"/>
    <w:rsid w:val="007748E6"/>
    <w:rsid w:val="007758DA"/>
    <w:rsid w:val="00776545"/>
    <w:rsid w:val="00776D6B"/>
    <w:rsid w:val="00777A4E"/>
    <w:rsid w:val="0078135B"/>
    <w:rsid w:val="00781979"/>
    <w:rsid w:val="007847B3"/>
    <w:rsid w:val="00791BEC"/>
    <w:rsid w:val="0079682E"/>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121"/>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0C8A"/>
    <w:rsid w:val="00865FA3"/>
    <w:rsid w:val="0087152E"/>
    <w:rsid w:val="0087268E"/>
    <w:rsid w:val="00874F0C"/>
    <w:rsid w:val="0087796B"/>
    <w:rsid w:val="008842A1"/>
    <w:rsid w:val="00891B19"/>
    <w:rsid w:val="008969EE"/>
    <w:rsid w:val="00896E38"/>
    <w:rsid w:val="00897040"/>
    <w:rsid w:val="0089784B"/>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3D16"/>
    <w:rsid w:val="009147CC"/>
    <w:rsid w:val="00916EE8"/>
    <w:rsid w:val="00925D22"/>
    <w:rsid w:val="009302E6"/>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64D63"/>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427"/>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372D1"/>
    <w:rsid w:val="00A41627"/>
    <w:rsid w:val="00A427B0"/>
    <w:rsid w:val="00A4361D"/>
    <w:rsid w:val="00A46EB5"/>
    <w:rsid w:val="00A5037E"/>
    <w:rsid w:val="00A504C2"/>
    <w:rsid w:val="00A60D55"/>
    <w:rsid w:val="00A66D3C"/>
    <w:rsid w:val="00A67896"/>
    <w:rsid w:val="00A72364"/>
    <w:rsid w:val="00A72D3C"/>
    <w:rsid w:val="00A7422C"/>
    <w:rsid w:val="00A7487C"/>
    <w:rsid w:val="00A778A4"/>
    <w:rsid w:val="00A8256A"/>
    <w:rsid w:val="00A82703"/>
    <w:rsid w:val="00A82A05"/>
    <w:rsid w:val="00A8544F"/>
    <w:rsid w:val="00A870CE"/>
    <w:rsid w:val="00A916F0"/>
    <w:rsid w:val="00A9472E"/>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06E8"/>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0526"/>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25286"/>
    <w:rsid w:val="00C3196D"/>
    <w:rsid w:val="00C3201B"/>
    <w:rsid w:val="00C328D9"/>
    <w:rsid w:val="00C334D2"/>
    <w:rsid w:val="00C37830"/>
    <w:rsid w:val="00C40D68"/>
    <w:rsid w:val="00C40E23"/>
    <w:rsid w:val="00C43BE5"/>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0809"/>
    <w:rsid w:val="00D7355B"/>
    <w:rsid w:val="00D74C58"/>
    <w:rsid w:val="00D75F27"/>
    <w:rsid w:val="00D76012"/>
    <w:rsid w:val="00D85EB2"/>
    <w:rsid w:val="00D874F9"/>
    <w:rsid w:val="00D95735"/>
    <w:rsid w:val="00D95D64"/>
    <w:rsid w:val="00D97498"/>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37C"/>
    <w:rsid w:val="00DF380E"/>
    <w:rsid w:val="00DF4EF0"/>
    <w:rsid w:val="00E00976"/>
    <w:rsid w:val="00E012FB"/>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566F1"/>
    <w:rsid w:val="00E621F3"/>
    <w:rsid w:val="00E6449D"/>
    <w:rsid w:val="00E70193"/>
    <w:rsid w:val="00E71828"/>
    <w:rsid w:val="00E728D3"/>
    <w:rsid w:val="00E76BAB"/>
    <w:rsid w:val="00E77455"/>
    <w:rsid w:val="00E81A0F"/>
    <w:rsid w:val="00E845CA"/>
    <w:rsid w:val="00E87640"/>
    <w:rsid w:val="00E92452"/>
    <w:rsid w:val="00E92549"/>
    <w:rsid w:val="00EA61A4"/>
    <w:rsid w:val="00EA77A7"/>
    <w:rsid w:val="00EB04B4"/>
    <w:rsid w:val="00EB5DC6"/>
    <w:rsid w:val="00EC197A"/>
    <w:rsid w:val="00EC2763"/>
    <w:rsid w:val="00ED36A3"/>
    <w:rsid w:val="00ED548F"/>
    <w:rsid w:val="00ED5EE9"/>
    <w:rsid w:val="00EE2726"/>
    <w:rsid w:val="00EF352D"/>
    <w:rsid w:val="00EF4076"/>
    <w:rsid w:val="00F005B8"/>
    <w:rsid w:val="00F00823"/>
    <w:rsid w:val="00F0424A"/>
    <w:rsid w:val="00F1701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603B"/>
    <w:rsid w:val="00F672CB"/>
    <w:rsid w:val="00F70207"/>
    <w:rsid w:val="00F71912"/>
    <w:rsid w:val="00F73981"/>
    <w:rsid w:val="00F75EC9"/>
    <w:rsid w:val="00F813A2"/>
    <w:rsid w:val="00F82458"/>
    <w:rsid w:val="00F83B96"/>
    <w:rsid w:val="00F855F6"/>
    <w:rsid w:val="00F85A31"/>
    <w:rsid w:val="00F85F47"/>
    <w:rsid w:val="00F87852"/>
    <w:rsid w:val="00FA0908"/>
    <w:rsid w:val="00FA11F3"/>
    <w:rsid w:val="00FA39C7"/>
    <w:rsid w:val="00FA41E9"/>
    <w:rsid w:val="00FB0ED2"/>
    <w:rsid w:val="00FC0FBF"/>
    <w:rsid w:val="00FC2B7F"/>
    <w:rsid w:val="00FC3B62"/>
    <w:rsid w:val="00FC45CC"/>
    <w:rsid w:val="00FD1705"/>
    <w:rsid w:val="00FD43F4"/>
    <w:rsid w:val="00FD62F6"/>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356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20612702">
      <w:bodyDiv w:val="1"/>
      <w:marLeft w:val="0"/>
      <w:marRight w:val="0"/>
      <w:marTop w:val="0"/>
      <w:marBottom w:val="0"/>
      <w:divBdr>
        <w:top w:val="none" w:sz="0" w:space="0" w:color="auto"/>
        <w:left w:val="none" w:sz="0" w:space="0" w:color="auto"/>
        <w:bottom w:val="none" w:sz="0" w:space="0" w:color="auto"/>
        <w:right w:val="none" w:sz="0" w:space="0" w:color="auto"/>
      </w:divBdr>
      <w:divsChild>
        <w:div w:id="243416393">
          <w:marLeft w:val="200"/>
          <w:marRight w:val="225"/>
          <w:marTop w:val="200"/>
          <w:marBottom w:val="200"/>
          <w:divBdr>
            <w:top w:val="none" w:sz="0" w:space="0" w:color="auto"/>
            <w:left w:val="none" w:sz="0" w:space="0" w:color="auto"/>
            <w:bottom w:val="none" w:sz="0" w:space="0" w:color="auto"/>
            <w:right w:val="none" w:sz="0" w:space="0" w:color="auto"/>
          </w:divBdr>
        </w:div>
        <w:div w:id="1161237860">
          <w:marLeft w:val="200"/>
          <w:marRight w:val="225"/>
          <w:marTop w:val="200"/>
          <w:marBottom w:val="200"/>
          <w:divBdr>
            <w:top w:val="none" w:sz="0" w:space="0" w:color="auto"/>
            <w:left w:val="none" w:sz="0" w:space="0" w:color="auto"/>
            <w:bottom w:val="none" w:sz="0" w:space="0" w:color="auto"/>
            <w:right w:val="none" w:sz="0" w:space="0" w:color="auto"/>
          </w:divBdr>
        </w:div>
        <w:div w:id="991564709">
          <w:marLeft w:val="200"/>
          <w:marRight w:val="225"/>
          <w:marTop w:val="200"/>
          <w:marBottom w:val="200"/>
          <w:divBdr>
            <w:top w:val="none" w:sz="0" w:space="0" w:color="auto"/>
            <w:left w:val="none" w:sz="0" w:space="0" w:color="auto"/>
            <w:bottom w:val="none" w:sz="0" w:space="0" w:color="auto"/>
            <w:right w:val="none" w:sz="0" w:space="0" w:color="auto"/>
          </w:divBdr>
        </w:div>
        <w:div w:id="744451739">
          <w:marLeft w:val="200"/>
          <w:marRight w:val="225"/>
          <w:marTop w:val="200"/>
          <w:marBottom w:val="200"/>
          <w:divBdr>
            <w:top w:val="none" w:sz="0" w:space="0" w:color="auto"/>
            <w:left w:val="none" w:sz="0" w:space="0" w:color="auto"/>
            <w:bottom w:val="none" w:sz="0" w:space="0" w:color="auto"/>
            <w:right w:val="none" w:sz="0" w:space="0" w:color="auto"/>
          </w:divBdr>
        </w:div>
        <w:div w:id="1281300989">
          <w:marLeft w:val="200"/>
          <w:marRight w:val="225"/>
          <w:marTop w:val="400"/>
          <w:marBottom w:val="0"/>
          <w:divBdr>
            <w:top w:val="none" w:sz="0" w:space="0" w:color="auto"/>
            <w:left w:val="none" w:sz="0" w:space="0" w:color="auto"/>
            <w:bottom w:val="none" w:sz="0" w:space="0" w:color="auto"/>
            <w:right w:val="none" w:sz="0" w:space="0" w:color="auto"/>
          </w:divBdr>
        </w:div>
      </w:divsChild>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99964151">
      <w:bodyDiv w:val="1"/>
      <w:marLeft w:val="0"/>
      <w:marRight w:val="0"/>
      <w:marTop w:val="0"/>
      <w:marBottom w:val="0"/>
      <w:divBdr>
        <w:top w:val="none" w:sz="0" w:space="0" w:color="auto"/>
        <w:left w:val="none" w:sz="0" w:space="0" w:color="auto"/>
        <w:bottom w:val="none" w:sz="0" w:space="0" w:color="auto"/>
        <w:right w:val="none" w:sz="0" w:space="0" w:color="auto"/>
      </w:divBdr>
    </w:div>
    <w:div w:id="1104350818">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933587642">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1">
          <w:marLeft w:val="200"/>
          <w:marRight w:val="225"/>
          <w:marTop w:val="200"/>
          <w:marBottom w:val="200"/>
          <w:divBdr>
            <w:top w:val="none" w:sz="0" w:space="0" w:color="auto"/>
            <w:left w:val="none" w:sz="0" w:space="0" w:color="auto"/>
            <w:bottom w:val="none" w:sz="0" w:space="0" w:color="auto"/>
            <w:right w:val="none" w:sz="0" w:space="0" w:color="auto"/>
          </w:divBdr>
        </w:div>
        <w:div w:id="851259798">
          <w:marLeft w:val="200"/>
          <w:marRight w:val="225"/>
          <w:marTop w:val="200"/>
          <w:marBottom w:val="200"/>
          <w:divBdr>
            <w:top w:val="none" w:sz="0" w:space="0" w:color="auto"/>
            <w:left w:val="none" w:sz="0" w:space="0" w:color="auto"/>
            <w:bottom w:val="none" w:sz="0" w:space="0" w:color="auto"/>
            <w:right w:val="none" w:sz="0" w:space="0" w:color="auto"/>
          </w:divBdr>
        </w:div>
        <w:div w:id="1434478392">
          <w:marLeft w:val="200"/>
          <w:marRight w:val="225"/>
          <w:marTop w:val="200"/>
          <w:marBottom w:val="200"/>
          <w:divBdr>
            <w:top w:val="none" w:sz="0" w:space="0" w:color="auto"/>
            <w:left w:val="none" w:sz="0" w:space="0" w:color="auto"/>
            <w:bottom w:val="none" w:sz="0" w:space="0" w:color="auto"/>
            <w:right w:val="none" w:sz="0" w:space="0" w:color="auto"/>
          </w:divBdr>
        </w:div>
        <w:div w:id="2094933048">
          <w:marLeft w:val="200"/>
          <w:marRight w:val="225"/>
          <w:marTop w:val="200"/>
          <w:marBottom w:val="200"/>
          <w:divBdr>
            <w:top w:val="none" w:sz="0" w:space="0" w:color="auto"/>
            <w:left w:val="none" w:sz="0" w:space="0" w:color="auto"/>
            <w:bottom w:val="none" w:sz="0" w:space="0" w:color="auto"/>
            <w:right w:val="none" w:sz="0" w:space="0" w:color="auto"/>
          </w:divBdr>
        </w:div>
        <w:div w:id="382101471">
          <w:marLeft w:val="200"/>
          <w:marRight w:val="225"/>
          <w:marTop w:val="400"/>
          <w:marBottom w:val="0"/>
          <w:divBdr>
            <w:top w:val="none" w:sz="0" w:space="0" w:color="auto"/>
            <w:left w:val="none" w:sz="0" w:space="0" w:color="auto"/>
            <w:bottom w:val="none" w:sz="0" w:space="0" w:color="auto"/>
            <w:right w:val="none" w:sz="0" w:space="0" w:color="auto"/>
          </w:divBdr>
        </w:div>
      </w:divsChild>
    </w:div>
    <w:div w:id="2039548190">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C821-0E7C-4619-93C3-8A1683E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2922</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2019-02-25T07:07:00Z</cp:lastPrinted>
  <dcterms:created xsi:type="dcterms:W3CDTF">2024-03-27T06:13:00Z</dcterms:created>
  <dcterms:modified xsi:type="dcterms:W3CDTF">2024-03-27T06:13:00Z</dcterms:modified>
</cp:coreProperties>
</file>